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240" w:beforeAutospacing="0" w:after="120" w:afterAutospacing="0" w:line="13" w:lineRule="atLeast"/>
        <w:jc w:val="center"/>
        <w:rPr>
          <w:b/>
          <w:bCs/>
          <w:sz w:val="28"/>
          <w:szCs w:val="28"/>
        </w:rPr>
      </w:pPr>
      <w:r>
        <w:rPr>
          <w:b/>
          <w:bCs/>
          <w:i w:val="0"/>
          <w:iCs w:val="0"/>
          <w:caps w:val="0"/>
          <w:color w:val="0042A4"/>
          <w:spacing w:val="0"/>
          <w:sz w:val="28"/>
          <w:szCs w:val="28"/>
        </w:rPr>
        <w:t>关于印发《青岛市市政公用工地围挡专项提升工作方案》的通知</w:t>
      </w:r>
    </w:p>
    <w:p>
      <w:pPr>
        <w:keepNext w:val="0"/>
        <w:keepLines w:val="0"/>
        <w:widowControl/>
        <w:suppressLineNumbers w:val="0"/>
        <w:spacing w:after="240" w:afterAutospacing="0" w:line="360" w:lineRule="atLeast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666666"/>
          <w:spacing w:val="0"/>
          <w:sz w:val="16"/>
          <w:szCs w:val="16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6"/>
          <w:szCs w:val="16"/>
          <w:lang w:val="en-US" w:eastAsia="zh-CN" w:bidi="ar"/>
        </w:rPr>
        <w:t>2022-10-26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/>
        <w:jc w:val="left"/>
      </w:pPr>
      <w:r>
        <w:rPr>
          <w:rFonts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各区（市）市政公用工程监督管理部门：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现将《青岛市市政公用工地围挡专项提升工作方案》印发你们，请结合各自实际，抓好贯彻落实。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right"/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8"/>
          <w:szCs w:val="28"/>
        </w:rPr>
        <w:t>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righ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青岛市市政公用工程质量安全监督站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/>
        <w:jc w:val="righ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                   2022年10月26日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/>
        <w:jc w:val="center"/>
      </w:pPr>
      <w:r>
        <w:rPr>
          <w:rFonts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34"/>
          <w:szCs w:val="34"/>
        </w:rPr>
        <w:t>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/>
        <w:jc w:val="center"/>
      </w:pPr>
      <w:r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34"/>
          <w:szCs w:val="34"/>
        </w:rPr>
        <w:t>青岛市市政公用工地围挡专项提升工作方案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    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为深入贯彻落实全国文明典范城市创建工作部署，全面提升我市市政公用（含城市轨道交通）工地围挡建设水平，彰显工地围挡在展示城市形象中的重要作用，现就市政公用工地围挡专项提升工作通知如下。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   </w:t>
      </w: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</w:rPr>
        <w:t> </w:t>
      </w: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</w:rPr>
        <w:t>一、围挡样式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围挡样式分为装配式和仿绿植式,按要求张贴公益广告，具体标准详见附件1。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</w:rPr>
        <w:t>二、提升范围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全市范围内市政公用工地围挡。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16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</w:rPr>
        <w:t>三、提升要求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Style w:val="6"/>
          <w:rFonts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25"/>
          <w:szCs w:val="25"/>
        </w:rPr>
        <w:t>（一）新开工工地围挡设置要求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通知发布之日起，新开工市政公用工地施工现场设置围挡的，必须严格执行本方案有关规定使用装配式围挡，除沿海一线旅游景区优先使用装配式Ⅱ型围挡外，其他工地参照装配式Ⅰ型围挡进行设置。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工地围挡设置需编制专项方案，报属地主管部门同意后进行设置。如确因交通调流或周边环境等客观因素影响，难以实现围挡提升标准的，须报属地主管部门同意后方可选用仿绿植式围挡。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Style w:val="6"/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25"/>
          <w:szCs w:val="25"/>
        </w:rPr>
        <w:t>（二）在建工地围挡设置要求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在建市政公用工程施工现场原有围挡不得存在破损污染、歪斜不整、固定不牢或基础不符合要求等问题，并按要求张贴公益广告。2023年6月30日前围挡不能拆除的工地，按照下述要求进行更换提升。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1.毗邻或占掘主要道路。参照创建文明典范城市有关主次干道的要求，明确主要道路范围（各区市结合属地有关部门要求确定）。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</w:rPr>
        <w:t> 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毗邻或占掘主要道路的市政公用工地全部更换装配式围挡。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2.重点区域范围内。重点区域范围内市政公用工地全部更换装配式围挡。具体范围由各区市结合实际确定。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3.其他区域范围。除毗邻或占掘主要道路、重点区域范围外的其他区域，更换装配式围挡或者仿绿植式围挡。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</w:rPr>
        <w:t>四、方法步骤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Style w:val="6"/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25"/>
          <w:szCs w:val="25"/>
        </w:rPr>
        <w:t>（一）调查摸底阶段。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10月28日前，各区（市）要明确主要道路及周边、重点区域范围、其他区域范围3个方面，掌握情况、摸清底数、建立台账（附件2）并明确整改时间，确保辖区所有市政公用工地围挡登记纳统。台账信息请于10月28日前报市市政公用监督站。（金宏网：青岛市市政公用工程质量安全监督站综合业务科）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Style w:val="6"/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25"/>
          <w:szCs w:val="25"/>
        </w:rPr>
        <w:t>（二）整治提升阶段。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11月4日前，各区（市）组织辖区市政公用工地立即行动，对照各自区域划分，严格按照规定要求完成围挡整治提升，并对整治提升成果开展自查自评，指导各工地完成围挡整治任务，整治结果报市市政公用监督站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Style w:val="6"/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25"/>
          <w:szCs w:val="25"/>
        </w:rPr>
        <w:t>（三）长效管理阶段。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11月4日起，对全市市政公用工地围挡整治情况进行持续督导检查，实现常态化管理，切实巩固整治成果。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/>
        <w:jc w:val="left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</w:rPr>
        <w:t>     五、工作保障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384"/>
        <w:jc w:val="left"/>
      </w:pPr>
      <w:r>
        <w:rPr>
          <w:rStyle w:val="6"/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25"/>
          <w:szCs w:val="25"/>
        </w:rPr>
        <w:t>（一）提高思想认识。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开展围挡专项提升是创建文明典范城市、展现良好城市形象的需要，各区（市）要提高思想认识，切实增强责任感和紧迫感，加强组织领导，扎实开展提升工作。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Style w:val="6"/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25"/>
          <w:szCs w:val="25"/>
        </w:rPr>
        <w:t>(二)严格执行标准。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各区（市）要第一时间将方案要求传达到每个工地，督导各工地严格按照提升标准设置围挡，严格执行方案中有关围挡设置方式、围挡尺寸、面板材质及厚度、支撑框架及草皮规格尺寸、喷涂颜色、公益广告样式及尺寸等的标准要求，严禁随意降低标准或不按标准设置，确因特殊情况无法按标准设置的，设置方案报属地主管部门同意后参照标准设置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44" w:lineRule="atLeast"/>
        <w:ind w:left="0" w:right="0" w:firstLine="516"/>
        <w:jc w:val="left"/>
      </w:pPr>
      <w:r>
        <w:rPr>
          <w:rStyle w:val="6"/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25"/>
          <w:szCs w:val="25"/>
        </w:rPr>
        <w:t>(三)认真落实责任。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各区（市）要做好提升工作，精心组织，认真落实相关提升措施，确保各项工作在既定时间内完成。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444" w:lineRule="atLeast"/>
        <w:ind w:left="0" w:right="0" w:firstLine="504"/>
        <w:jc w:val="lef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25"/>
          <w:szCs w:val="25"/>
        </w:rPr>
        <w:t>附件：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</w:rPr>
        <w:drawing>
          <wp:inline distT="0" distB="0" distL="114300" distR="114300">
            <wp:extent cx="152400" cy="152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fldChar w:fldCharType="begin"/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instrText xml:space="preserve"> HYPERLINK "http://sjw.qingdao.gov.cn/cxjsj23/cxjsj131/202210/P020221026662785034220.docx" \o "1.市政公用工地围挡提升标准.docx" </w:instrTex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fldChar w:fldCharType="separate"/>
      </w:r>
      <w:r>
        <w:rPr>
          <w:rStyle w:val="7"/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t>1.市政公用工地围挡提升标准.docx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192" w:lineRule="atLeast"/>
        <w:ind w:left="0" w:right="0"/>
        <w:jc w:val="left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5"/>
          <w:szCs w:val="25"/>
        </w:rPr>
        <w:t>          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drawing>
          <wp:inline distT="0" distB="0" distL="114300" distR="114300">
            <wp:extent cx="152400" cy="152400"/>
            <wp:effectExtent l="0" t="0" r="0" b="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fldChar w:fldCharType="begin"/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instrText xml:space="preserve"> HYPERLINK "http://sjw.qingdao.gov.cn/cxjsj23/cxjsj131/202210/P020221026662786971176.docx" \o "2.围挡专项提升台账.docx" </w:instrTex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fldChar w:fldCharType="separate"/>
      </w:r>
      <w:r>
        <w:rPr>
          <w:rStyle w:val="7"/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t>2.围挡专项提升台账.docx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0066CC"/>
          <w:spacing w:val="0"/>
          <w:sz w:val="25"/>
          <w:szCs w:val="25"/>
          <w:u w:val="none"/>
        </w:rPr>
        <w:fldChar w:fldCharType="end"/>
      </w:r>
      <w:bookmarkStart w:id="0" w:name="_GoBack"/>
      <w:bookmarkEnd w:id="0"/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2YTljYzFiMDkwZmYxNTIwNzJjMmEzMWJmYWUwZDMifQ=="/>
  </w:docVars>
  <w:rsids>
    <w:rsidRoot w:val="00000000"/>
    <w:rsid w:val="530D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2022-10-27T06:42:58Z</dcterms:created>
  <dc:creator>Administrator</dc:creator>
  <cp:lastModifiedBy>刘卫东</cp:lastModifiedBy>
  <dcterms:modified xsi:type="dcterms:W3CDTF">2022-10-27T06:44:01Z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0E537952241141799DA0F02D5F575AE0</vt:lpwstr>
  </property>
</Properties>
</file>