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附件3</w:t>
      </w:r>
    </w:p>
    <w:p>
      <w:pPr>
        <w:spacing w:before="159" w:beforeLines="50" w:after="319" w:afterLines="100" w:line="580" w:lineRule="exact"/>
        <w:jc w:val="center"/>
        <w:rPr>
          <w:rFonts w:ascii="方正公文小标宋" w:hAnsi="方正公文小标宋" w:eastAsia="方正公文小标宋" w:cs="方正公文小标宋"/>
          <w:sz w:val="44"/>
          <w:szCs w:val="44"/>
        </w:rPr>
      </w:pPr>
      <w:bookmarkStart w:id="0" w:name="_GoBack"/>
      <w:r>
        <w:rPr>
          <w:rFonts w:hint="eastAsia" w:ascii="方正公文小标宋" w:hAnsi="方正公文小标宋" w:eastAsia="方正公文小标宋" w:cs="方正公文小标宋"/>
          <w:sz w:val="44"/>
          <w:szCs w:val="44"/>
        </w:rPr>
        <w:t>青岛市智能建造项目参考指标</w:t>
      </w:r>
    </w:p>
    <w:bookmarkEnd w:id="0"/>
    <w:tbl>
      <w:tblPr>
        <w:tblStyle w:val="8"/>
        <w:tblW w:w="13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1675"/>
        <w:gridCol w:w="2145"/>
        <w:gridCol w:w="2235"/>
        <w:gridCol w:w="6600"/>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576" w:hRule="atLeast"/>
          <w:tblHeader/>
        </w:trPr>
        <w:tc>
          <w:tcPr>
            <w:tcW w:w="1675" w:type="dxa"/>
            <w:tcBorders>
              <w:tl2br w:val="nil"/>
              <w:tr2bl w:val="nil"/>
            </w:tcBorders>
            <w:shd w:val="clear" w:color="auto" w:fill="auto"/>
            <w:noWrap/>
            <w:vAlign w:val="center"/>
          </w:tcPr>
          <w:p>
            <w:pPr>
              <w:widowControl/>
              <w:snapToGrid w:val="0"/>
              <w:jc w:val="center"/>
              <w:rPr>
                <w:rFonts w:ascii="黑体" w:hAnsi="黑体" w:eastAsia="黑体" w:cs="宋体"/>
                <w:color w:val="000000"/>
                <w:kern w:val="0"/>
                <w:sz w:val="24"/>
              </w:rPr>
            </w:pPr>
            <w:r>
              <w:rPr>
                <w:rFonts w:hint="eastAsia" w:ascii="黑体" w:hAnsi="黑体" w:eastAsia="黑体" w:cs="宋体"/>
                <w:color w:val="000000"/>
                <w:kern w:val="0"/>
                <w:sz w:val="24"/>
                <w:szCs w:val="24"/>
              </w:rPr>
              <w:t>智能建造阶段</w:t>
            </w:r>
          </w:p>
        </w:tc>
        <w:tc>
          <w:tcPr>
            <w:tcW w:w="4380" w:type="dxa"/>
            <w:gridSpan w:val="2"/>
            <w:tcBorders>
              <w:tl2br w:val="nil"/>
              <w:tr2bl w:val="nil"/>
            </w:tcBorders>
            <w:shd w:val="clear" w:color="auto" w:fill="auto"/>
            <w:noWrap/>
            <w:vAlign w:val="center"/>
          </w:tcPr>
          <w:p>
            <w:pPr>
              <w:widowControl/>
              <w:snapToGrid w:val="0"/>
              <w:jc w:val="center"/>
              <w:rPr>
                <w:rFonts w:ascii="黑体" w:hAnsi="黑体" w:eastAsia="黑体" w:cs="宋体"/>
                <w:color w:val="000000"/>
                <w:kern w:val="0"/>
                <w:sz w:val="24"/>
              </w:rPr>
            </w:pPr>
            <w:r>
              <w:rPr>
                <w:rFonts w:hint="eastAsia" w:ascii="黑体" w:hAnsi="黑体" w:eastAsia="黑体" w:cs="宋体"/>
                <w:color w:val="000000"/>
                <w:kern w:val="0"/>
                <w:sz w:val="24"/>
                <w:szCs w:val="24"/>
              </w:rPr>
              <w:t>功能模块</w:t>
            </w:r>
          </w:p>
        </w:tc>
        <w:tc>
          <w:tcPr>
            <w:tcW w:w="6600" w:type="dxa"/>
            <w:tcBorders>
              <w:tl2br w:val="nil"/>
              <w:tr2bl w:val="nil"/>
            </w:tcBorders>
            <w:shd w:val="clear" w:color="auto" w:fill="auto"/>
            <w:noWrap/>
            <w:vAlign w:val="center"/>
          </w:tcPr>
          <w:p>
            <w:pPr>
              <w:widowControl/>
              <w:snapToGrid w:val="0"/>
              <w:jc w:val="center"/>
              <w:rPr>
                <w:rFonts w:ascii="黑体" w:hAnsi="黑体" w:eastAsia="黑体" w:cs="宋体"/>
                <w:color w:val="000000"/>
                <w:kern w:val="0"/>
                <w:sz w:val="24"/>
              </w:rPr>
            </w:pPr>
            <w:r>
              <w:rPr>
                <w:rFonts w:hint="eastAsia" w:ascii="黑体" w:hAnsi="黑体" w:eastAsia="黑体" w:cs="宋体"/>
                <w:color w:val="000000"/>
                <w:kern w:val="0"/>
                <w:sz w:val="24"/>
                <w:szCs w:val="24"/>
              </w:rPr>
              <w:t>指标解释</w:t>
            </w:r>
          </w:p>
        </w:tc>
        <w:tc>
          <w:tcPr>
            <w:tcW w:w="1340" w:type="dxa"/>
            <w:tcBorders>
              <w:tl2br w:val="nil"/>
              <w:tr2bl w:val="nil"/>
            </w:tcBorders>
            <w:shd w:val="clear" w:color="auto" w:fill="auto"/>
            <w:noWrap/>
            <w:vAlign w:val="center"/>
          </w:tcPr>
          <w:p>
            <w:pPr>
              <w:widowControl/>
              <w:snapToGrid w:val="0"/>
              <w:jc w:val="center"/>
              <w:rPr>
                <w:rFonts w:ascii="黑体" w:hAnsi="黑体" w:eastAsia="黑体" w:cs="宋体"/>
                <w:color w:val="000000"/>
                <w:kern w:val="0"/>
                <w:sz w:val="24"/>
              </w:rPr>
            </w:pPr>
            <w:r>
              <w:rPr>
                <w:rFonts w:hint="eastAsia" w:ascii="黑体" w:hAnsi="黑体" w:eastAsia="黑体" w:cs="宋体"/>
                <w:color w:val="000000"/>
                <w:kern w:val="0"/>
                <w:sz w:val="24"/>
                <w:szCs w:val="24"/>
              </w:rPr>
              <w:t>选项</w:t>
            </w:r>
          </w:p>
          <w:p>
            <w:pPr>
              <w:widowControl/>
              <w:snapToGrid w:val="0"/>
              <w:jc w:val="center"/>
              <w:rPr>
                <w:rFonts w:ascii="黑体" w:hAnsi="黑体" w:eastAsia="黑体" w:cs="宋体"/>
                <w:color w:val="000000"/>
                <w:kern w:val="0"/>
                <w:sz w:val="24"/>
              </w:rPr>
            </w:pPr>
            <w:r>
              <w:rPr>
                <w:rFonts w:hint="eastAsia" w:ascii="黑体" w:hAnsi="黑体" w:eastAsia="黑体" w:cs="宋体"/>
                <w:color w:val="000000"/>
                <w:kern w:val="0"/>
                <w:sz w:val="24"/>
                <w:szCs w:val="24"/>
              </w:rPr>
              <w:t>打“</w:t>
            </w:r>
            <w:r>
              <w:rPr>
                <w:rFonts w:ascii="Arial" w:hAnsi="Arial" w:eastAsia="黑体" w:cs="Arial"/>
                <w:color w:val="000000"/>
                <w:kern w:val="0"/>
                <w:sz w:val="24"/>
                <w:szCs w:val="24"/>
              </w:rPr>
              <w:t>√</w:t>
            </w:r>
            <w:r>
              <w:rPr>
                <w:rFonts w:hint="eastAsia" w:ascii="黑体" w:hAnsi="黑体" w:eastAsia="黑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策划阶段</w:t>
            </w: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组织与管理</w:t>
            </w: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组织架构与管理模式</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项目组织架构完整，项目多参与方共同组成层级化架构组织，责权利界定清晰、分工有序。</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92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设置符合项目智能建造数字化要求的高级管理岗位，负责决策、监督、指导等职责；配备智能建造专业人员，负责执行、技术支撑等职责。</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04"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采用工程总承包模式。</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297"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采用全过程咨询模式。</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85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制度保障</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针对智能建造需求，项目管理制度和章程完备，包括岗位职责规定、生产流程、质量管理流程、奖惩制度、协调沟通等相关制度，满足智能建造项目建设需求。</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617"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总体方案策划</w:t>
            </w: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策划方案</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制定项目智能建造顶层规划，明确智能建造的总体目标、应用场景、建设内容及其实施方案、预期成果、建设时序、实施计划等。</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90"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建筑机器人及智能装备应用不少于三个分部分项工程。</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BIM技术必须应用于设计、生产、施工和数字化交付全过程。</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设计阶段采用BIM进行正向设计。</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43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执行标准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采用或建立健全的标准体系，技术内容全面，制定了项目标准应用清单。</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根据项目特点、总体要求、项目方案，编制数据、技术、产品、质量和工作范围等方面的标准内容。</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设计阶段</w:t>
            </w: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项目资源</w:t>
            </w: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软件应用</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使用通用软件进行建模或可视化查询。</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使用平台类软件进行数据采集、管理、存储和共享。</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使用应用类软件进行数据处理、分析和预测。</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数据资源</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使用包括分类和编码库、模板和样式库、构件和产品库、规则库和知识库中2项及以上。</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建立或更新了如场地数据、气候数据、能耗数据等相关补充数据资源。</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557"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“BIM+”一体化</w:t>
            </w:r>
          </w:p>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w:t>
            </w:r>
          </w:p>
        </w:tc>
        <w:tc>
          <w:tcPr>
            <w:tcW w:w="2235" w:type="dxa"/>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辅助设计</w:t>
            </w:r>
          </w:p>
        </w:tc>
        <w:tc>
          <w:tcPr>
            <w:tcW w:w="6600" w:type="dxa"/>
            <w:tcBorders>
              <w:tl2br w:val="nil"/>
              <w:tr2bl w:val="nil"/>
            </w:tcBorders>
            <w:shd w:val="clear" w:color="auto" w:fill="auto"/>
            <w:noWrap/>
            <w:vAlign w:val="center"/>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采用各类应用技术对项目过程或成果进行优化：设计可视化展示、建筑性能分析、VR/AR/MR等虚拟仿真技术、设计冲突检测、标准化部品部件库应用。</w:t>
            </w:r>
          </w:p>
        </w:tc>
        <w:tc>
          <w:tcPr>
            <w:tcW w:w="1340" w:type="dxa"/>
            <w:tcBorders>
              <w:tl2br w:val="nil"/>
              <w:tr2bl w:val="nil"/>
            </w:tcBorders>
            <w:shd w:val="clear" w:color="auto" w:fill="auto"/>
            <w:noWrap/>
            <w:vAlign w:val="center"/>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深化设计</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结合施工现场实际情况，对施工图、施工工艺方案、施工质量控制方案、安全施工方案、施工场布、进度计划进行深化设计，以满足建筑施工的具体要求。</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设计指导施工，提供设计成果交底和过程资料。</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辅助审查</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BIM成果模型转出的数据成果能通过BIM管理平台自检工具审查，并提交审核报告。</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提交基于软件自动生成的审核报告，要求：对设计图纸进行智能辅助审查，包括：建筑审核、结构审核、机电审核；审核内容侧重设计质量审查，如碰撞问题、净高问题、规范问题等；审核范围应涵盖项目所有部分。</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设计成果交付</w:t>
            </w: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表达手段</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使用包括但不限于信息模型、电子图纸和文档、点云、多媒体、网页等手段中两项及以上。</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成果完整性</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交付成果符合信息需求文件和实施计划的要求。</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成果文件管理</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对项目数字设计成果文件应全部电子化，格式规范、归类有序、命名统一、版本无冲突。</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生产阶段</w:t>
            </w: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智能生产过程</w:t>
            </w:r>
          </w:p>
        </w:tc>
        <w:tc>
          <w:tcPr>
            <w:tcW w:w="223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数字化应用</w:t>
            </w:r>
          </w:p>
        </w:tc>
        <w:tc>
          <w:tcPr>
            <w:tcW w:w="6600" w:type="dxa"/>
            <w:tcBorders>
              <w:tl2br w:val="nil"/>
              <w:tr2bl w:val="nil"/>
            </w:tcBorders>
            <w:shd w:val="clear" w:color="auto" w:fill="auto"/>
            <w:noWrap/>
            <w:vAlign w:val="center"/>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应用设计阶段或者深化设计阶段的数据格式能够统一与互换，与智能生产加工设备对接，实现数据驱动生产。</w:t>
            </w:r>
          </w:p>
        </w:tc>
        <w:tc>
          <w:tcPr>
            <w:tcW w:w="1340" w:type="dxa"/>
            <w:tcBorders>
              <w:tl2br w:val="nil"/>
              <w:tr2bl w:val="nil"/>
            </w:tcBorders>
            <w:shd w:val="clear" w:color="auto" w:fill="auto"/>
            <w:noWrap/>
            <w:vAlign w:val="center"/>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基于生产管理系统编制部品部件供应计划，且同步关联设计、施工计划，实现构件实际生产进度与项目现场实时同步。</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441"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基于BIM轻量化模型，对生产阶段关键环节进行可视化进度和质量检查。</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项目部品部件生产、物流等数据实现在线传输、存储、审核。</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编码</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建立部品部件的分类编码体系，基于条形码、二维码、RFID等标识技术，对部品部件进行编码，编码信息可流通、可共享、可附加。</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同步更新BIM信息与RFID等标签信息，对部品部件形成唯一信息的识别标签，对构件生产的全生命周期进行可追溯管理。</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质检</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采用智能质检设备对部品部件自动测量，数据上传质检管理系统，通过与生产BIM模型比对，自动生成质检结果。</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物流</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采用物流管理系统，支持部品部件的仓储和运输管理，可通过桌面端或移动端查看实时物流状态。</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采用智能堆场装备，自动码垛机或自动吊板码垛设备或构件专用自装卸运输车。</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交付</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项目构件生产合同、生产过程资料、合格证等全部采用数字化交付。</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项目构件生产过程数据，交付BIM模型及数据。</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智能生产部品部件应用</w:t>
            </w: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主体结构部品部件</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采用自动化、智能化生产的主体结构部品部件种类占项目应用主体结构总部品部件种类的比例为30%-100%时，得分采用内插法计算确定。</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围护墙和内隔墙部品部件</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采用自动化、智能化生产的围护墙和内隔墙部品部件种类占项目应用主体结构总部品部件种类比例为30%-100%时，得分采用内插法计算确定。</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装修和设备管线</w:t>
            </w:r>
          </w:p>
        </w:tc>
        <w:tc>
          <w:tcPr>
            <w:tcW w:w="660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采用自动化、智能化生产的装修和设备管线部品部件种类占项目应用主体结构总部品部件种类比例为30%-100%时，得分采用内插法计算确定。</w:t>
            </w:r>
          </w:p>
        </w:tc>
        <w:tc>
          <w:tcPr>
            <w:tcW w:w="1340" w:type="dxa"/>
            <w:tcBorders>
              <w:tl2br w:val="nil"/>
              <w:tr2bl w:val="nil"/>
            </w:tcBorders>
            <w:shd w:val="clear" w:color="auto" w:fill="auto"/>
            <w:noWrap/>
          </w:tcPr>
          <w:p>
            <w:pPr>
              <w:widowControl/>
              <w:snapToGrid w:val="0"/>
              <w:jc w:val="left"/>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施工阶段</w:t>
            </w: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智能化管理</w:t>
            </w: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现场管理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可以快速完成项目部进出场车辆检验、记录、放行等工作，能有效地控制、监测、管理施工现场的车辆。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利用智能化管理平台和视频监控设备，形成一套立体化的监控体系，保证重点区域及时掌控项目一线动态，实现智能化的安全监控、设备检测、工作流程优化等功能。</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人员管理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施工现场安装人脸识别设备采集人员在岗信息，采用区域性或高精度的人员定位系统对现场施工人员进行平面定位或高度定位。</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对关键岗位人员到岗履职情况实施数字化、智能化管理，采用监控摄像机及AI技术对危险区域人员入侵、安全装备穿戴、危险及事故动作进行识别和记录。</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利用智能化管理平台及移动端软件，应用电子工单系统，建设方、施工单位、监理单位各方在任务下发、执行、质检、工作量统计等环节信息共享，自动记录工种、工作量及工作时间。</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开展对总包单位管理人员的智能化管理，如项目组织机构、人员资质、领导岗位或关键岗位人员变更等，为后续企业对项目的管理提供数据。</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对特殊工种技术人员的岗位证书、入场、离场，从事、接触职业病健康危害因素人员的健康档案实行信息化管理。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利用信息化、智能化技术开展安全生产教育培训。</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对人员的不良行为信息、奖惩信息实现自动化记录。</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机械设备管理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施工机械设备采用二维码等身份识别信息进行标识，针对走行式的机械设备，能够定位或识别走行轨迹，并进行记录。</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施工机械设备安全运行智能化管控，运行过程中实现智能化监测，监测报警数据可通过多种方式自动推送通知至管理人员。</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现场存在多台同种设备时，建立设备群控管理功能，统筹各台设备具体运行时间及工作量，实现高效利用。</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建立产权、安（拆）单位、操作人员、注销备案等机械设备统一的信息数据库，线上监督相关单位按规定对施工机械进行租赁、安拆检查、检测、验收、维保和日常检查监督。</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物料管理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采用RFID、二维码等唯一标识技术和管理软件对部品部件类物料实现数字化管理，实现施工现场放置物料存平面布放可视化。</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通过数字化系统管控地磅称重、入库、领用、盘点等材料流转所有环节，实现工地现场材料全周期闭环管理。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根据BIM模型基础数据，对于各分部分项工程、各阶段的工程量、材料用量进行自动化计算及统计，结合现场进度、库存信息，按需自动生成采购信息。</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部品部件的工厂加工、出库、进场和吊装等数据的实时推送。</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环境管理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使用智能感知设备对现场风、温湿度、PM值、雨量、噪声等进行智能化监测，当超过规定值进行自动报警。</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使用具备自动监测功能的设备分时、分区对现场用电量、用水量进行智能化监测。</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环境监测管理子系统具备终端APP，通过终端设备实时采集、传输、显示、存储、统计分析、提示或报警功能。</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自动喷淋设备具备与扬尘监测系统联动控制的功能，实现自主降尘和定时控制，且建筑工地四周围挡的喷淋喷头间距不大于3.5m。</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质量管理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对施工方案、技术交底、过程质量控制、质量验收与评价进行智能化管理，实现对技术质量参数的智能化监控。</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通过智能化手段，实现检测业务的线上监控、检测数据的自动采集、数据共享分析，质量可追溯。</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质量验收信息附加或关联到BIM模型中。</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隐蔽工程全程留存视频影像资料。</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采用MR虚拟验收。</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安全管理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对专项施工方案、安全交底、安全巡检、安全监控（测）、安全资料等进行智能化管理，安装智能安防及报警信息系统，实现现场安全智能化管控。</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工地现场采用移动端软件实施现场风险管控和隐患排查，并自动推送至智慧工地平台。</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对密闭空间或存在有毒有害气体泄露风险的区域安装智能报警装置。</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可提供移动端和PC端的项目隐患检查功能，具备隐患发起、整改、复查的闭合管理功能。</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tcPr>
          <w:p>
            <w:pPr>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工地现场应用全景视频监控系统，采集施工过程照片、视频上传至协同管理平台，应用AI等技术自动发现安全隐患，并自动报警，并具备远程实时查看、回放、视频摘要、视频轮巡等功能。</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noWrap/>
            <w:vAlign w:val="center"/>
          </w:tcPr>
          <w:p>
            <w:pPr>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进度管理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工期任务与BIM模型关联，各工序以及关键节点实际开始时间与计划时间自动对比，并进行系统提示。</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能耗管理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工地现场采用节能低碳的施工装置、工艺，优先使用低能耗设备、对机械设备耗能进行计量统计并实时上传。</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工地现场具有建造阶段的碳计量（管理）系统，对施工过程碳排放进行数字化计算与计量。</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705"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数字化交付</w:t>
            </w: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交付标准与完整性</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数字化交付应建立完整的施工BIM应用管理制度文件，管理过程线上化留痕，形成数据资产，支持数字化竣工验收及存档，数字化交付应包括设计模型、施工阶段模型以及竣工模型且模型中含有使用说明信息。</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交付平台的可使用性</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数字化交付平台具备智能搜索功能，能通过关键字、业务标签、基础编码等对软件平台中所有的业务数据、用户、资料、图纸、模型、图像进行关联检索，实现设计、施工、运维数字化传递以及模型的相容转换，提供建筑物可视化使用说明，为智慧运维提供提出数据。</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智能技术与装备</w:t>
            </w: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智能技术</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采用基坑、边坡自动化监测预警系统。</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大体积混凝土温度、应力采用智能化温控、监测技术。</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基于BIM进行钢结构构件、预制混凝土构件等预制构件的智能加工，并运用三维激光扫描技术对预制构件进行质量验收。</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采用智能化模架体系，开展高大支模、整体提升脚手架、重大吊装等稳定性智能监测。</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高大、危大模架浇筑混凝土时的变形进行自动化监测、预警。</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主体结构施工过程重要构件或节点实时监测、结构健康监测。</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采用自动化监测技术对围护结构施工进行监测、分析、预警。</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建筑机器人与智能装备</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采用土方测绘无人机、三维测绘机器人、实测实量机器人等智能测量机器人2项及以上。</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采用钢筋下料、加工、绑扎、焊接机器人，模具安拆机器人，幕墙、钢结构、预制混凝土装配式部品构件、成品化装修、机电工程等智能化生产设备，使用2项及以上。</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抹光打磨机器人、混凝土整平机器人、测量放线机器人、现场钢筋加工机器人、现场焊接机器人、辅助安装机器人、砌筑机器人、抹灰机器人、巡检机器人、清洁机器人、外墙施工机器人等智能化施工机器人2项及以上。</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采用施工辅助测量机器人、墙板辅助安装机器人、涂装机器人、瓷砖铺贴机器人、墙纸铺贴机器人、地坪施工机器人等智能化装修机器人2项及以上。</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23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采用智能塔吊、智能升降机、智能混凝土布料机、智能振捣设备、自升式智能施工平台（造楼机）、造桥机、智能水平运输设备等智能工程机械设备2项及以上。</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全过程协同</w:t>
            </w:r>
          </w:p>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管理</w:t>
            </w: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软件和网络安全</w:t>
            </w: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软件</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使用自主可控内核开发的各种软件（国产化、正版化）。</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安全</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网络安全等级保护符合要求。</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restart"/>
            <w:tcBorders>
              <w:tl2br w:val="nil"/>
              <w:tr2bl w:val="nil"/>
            </w:tcBorders>
            <w:shd w:val="clear" w:color="auto" w:fill="auto"/>
            <w:noWrap/>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智能化协同</w:t>
            </w: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设计协同管理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针对项目上任务、图档、审查、变更、交付协同管理。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生产协同管理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针对装配式建筑，分为PC构件和钢结构构件两种类型，实现构件的深化设计、计划安排、生产过程、运输、交付等全过程管理。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353" w:hRule="atLeast"/>
        </w:trPr>
        <w:tc>
          <w:tcPr>
            <w:tcW w:w="1675" w:type="dxa"/>
            <w:vMerge w:val="continue"/>
            <w:tcBorders>
              <w:tl2br w:val="nil"/>
              <w:tr2bl w:val="nil"/>
            </w:tcBorders>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施工协同管理</w:t>
            </w:r>
          </w:p>
        </w:tc>
        <w:tc>
          <w:tcPr>
            <w:tcW w:w="660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以进度管理为主线，涵盖质量、安全、物资、技术、交付的数字化管理。</w:t>
            </w:r>
          </w:p>
        </w:tc>
        <w:tc>
          <w:tcPr>
            <w:tcW w:w="1340" w:type="dxa"/>
            <w:tcBorders>
              <w:tl2br w:val="nil"/>
              <w:tr2bl w:val="nil"/>
            </w:tcBorders>
            <w:shd w:val="clear" w:color="auto" w:fill="auto"/>
            <w:noWrap/>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694" w:hRule="atLeast"/>
        </w:trPr>
        <w:tc>
          <w:tcPr>
            <w:tcW w:w="167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智能建造实施效益</w:t>
            </w:r>
          </w:p>
        </w:tc>
        <w:tc>
          <w:tcPr>
            <w:tcW w:w="2145" w:type="dxa"/>
            <w:vMerge w:val="restart"/>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经济效益</w:t>
            </w: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施工效率</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通过智能化管理，优化施工工序，提高施工效率，缩短项目施工工期，提升建造效率。</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592"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综合成本</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采用智能施工和数字化管理，减少人员投入、提高设备运行效率、降低材料损耗。</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624" w:hRule="atLeast"/>
        </w:trPr>
        <w:tc>
          <w:tcPr>
            <w:tcW w:w="1675" w:type="dxa"/>
            <w:vMerge w:val="continue"/>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p>
        </w:tc>
        <w:tc>
          <w:tcPr>
            <w:tcW w:w="214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社会效益</w:t>
            </w:r>
          </w:p>
        </w:tc>
        <w:tc>
          <w:tcPr>
            <w:tcW w:w="2235" w:type="dxa"/>
            <w:tcBorders>
              <w:tl2br w:val="nil"/>
              <w:tr2bl w:val="nil"/>
            </w:tcBorders>
            <w:shd w:val="clear" w:color="auto" w:fill="auto"/>
            <w:vAlign w:val="center"/>
          </w:tcPr>
          <w:p>
            <w:pPr>
              <w:widowControl/>
              <w:snapToGrid w:val="0"/>
              <w:jc w:val="center"/>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科技成果</w:t>
            </w:r>
          </w:p>
        </w:tc>
        <w:tc>
          <w:tcPr>
            <w:tcW w:w="660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r>
              <w:rPr>
                <w:rFonts w:hint="eastAsia" w:ascii="仿宋_GB2312" w:hAnsi="等线" w:eastAsia="仿宋_GB2312" w:cs="宋体"/>
                <w:color w:val="000000"/>
                <w:kern w:val="0"/>
                <w:sz w:val="24"/>
                <w:szCs w:val="24"/>
              </w:rPr>
              <w:t>项目所应用的智能建造技术获得省部级及以上科技进步奖，经科技成果鉴定达到国际领先或国际先进水平等，入选市级及以上智能建造技术目录，申请获得专利、工法、软件著作权，获得市级及以上BIM大赛奖项、通过市级及以上智慧工地评选。</w:t>
            </w:r>
          </w:p>
        </w:tc>
        <w:tc>
          <w:tcPr>
            <w:tcW w:w="1340" w:type="dxa"/>
            <w:tcBorders>
              <w:tl2br w:val="nil"/>
              <w:tr2bl w:val="nil"/>
            </w:tcBorders>
            <w:shd w:val="clear" w:color="auto" w:fill="auto"/>
            <w:vAlign w:val="center"/>
          </w:tcPr>
          <w:p>
            <w:pPr>
              <w:widowControl/>
              <w:snapToGrid w:val="0"/>
              <w:rPr>
                <w:rFonts w:ascii="仿宋_GB2312" w:hAnsi="等线" w:eastAsia="仿宋_GB2312" w:cs="宋体"/>
                <w:color w:val="000000"/>
                <w:kern w:val="0"/>
                <w:sz w:val="24"/>
              </w:rPr>
            </w:pPr>
          </w:p>
        </w:tc>
      </w:tr>
    </w:tbl>
    <w:p>
      <w:pPr>
        <w:widowControl/>
        <w:spacing w:line="20" w:lineRule="exact"/>
        <w:jc w:val="left"/>
        <w:rPr>
          <w:rFonts w:ascii="Times New Roman" w:hAnsi="Times New Roman" w:eastAsia="方正仿宋_GBK"/>
          <w:sz w:val="32"/>
          <w:szCs w:val="32"/>
        </w:rPr>
      </w:pPr>
    </w:p>
    <w:p>
      <w:pPr>
        <w:rPr>
          <w:b/>
          <w:bCs/>
          <w:sz w:val="30"/>
          <w:szCs w:val="30"/>
        </w:rPr>
      </w:pPr>
      <w:r>
        <w:rPr>
          <w:rFonts w:hint="eastAsia"/>
          <w:b/>
          <w:bCs/>
          <w:sz w:val="30"/>
          <w:szCs w:val="30"/>
        </w:rPr>
        <w:t>注：为便于掌握工程建设项目智能建造应用情况和开展建设过程跟踪评估，请申报单位结合项目实际，在“选项”栏对应内容标注“</w:t>
      </w:r>
      <w:r>
        <w:rPr>
          <w:rFonts w:ascii="Arial" w:hAnsi="Arial" w:cs="Arial"/>
          <w:b/>
          <w:bCs/>
          <w:sz w:val="30"/>
          <w:szCs w:val="30"/>
        </w:rPr>
        <w:t>√</w:t>
      </w:r>
      <w:r>
        <w:rPr>
          <w:rFonts w:hint="eastAsia"/>
          <w:b/>
          <w:bCs/>
          <w:sz w:val="30"/>
          <w:szCs w:val="30"/>
        </w:rPr>
        <w:t>”。</w:t>
      </w:r>
    </w:p>
    <w:p>
      <w:pPr>
        <w:spacing w:line="560" w:lineRule="exact"/>
        <w:jc w:val="left"/>
        <w:rPr>
          <w:rFonts w:ascii="仿宋_GB2312" w:hAnsi="仿宋" w:eastAsia="仿宋_GB2312" w:cs="仿宋"/>
          <w:color w:val="000000"/>
          <w:sz w:val="32"/>
          <w:szCs w:val="32"/>
        </w:rPr>
      </w:pPr>
    </w:p>
    <w:sectPr>
      <w:footerReference r:id="rId3" w:type="default"/>
      <w:footerReference r:id="rId4" w:type="even"/>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inherit">
    <w:altName w:val="Cambria"/>
    <w:panose1 w:val="00000000000000000000"/>
    <w:charset w:val="00"/>
    <w:family w:val="auto"/>
    <w:pitch w:val="default"/>
    <w:sig w:usb0="00000000" w:usb1="00000000" w:usb2="00000000"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hint="eastAsia" w:ascii="仿宋_GB2312" w:eastAsia="仿宋_GB2312"/>
        <w:sz w:val="28"/>
        <w:szCs w:val="28"/>
      </w:rPr>
    </w:pPr>
    <w:r>
      <w:rPr>
        <w:rFonts w:hint="eastAsia" w:ascii="仿宋_GB2312" w:eastAsia="仿宋_GB2312"/>
        <w:sz w:val="28"/>
        <w:szCs w:val="28"/>
      </w:rPr>
      <w:t>—</w:t>
    </w:r>
    <w:sdt>
      <w:sdtPr>
        <w:rPr>
          <w:rFonts w:hint="eastAsia" w:ascii="仿宋_GB2312" w:eastAsia="仿宋_GB2312"/>
          <w:sz w:val="28"/>
          <w:szCs w:val="28"/>
        </w:rPr>
        <w:id w:val="1474095702"/>
        <w:docPartObj>
          <w:docPartGallery w:val="AutoText"/>
        </w:docPartObj>
      </w:sdtPr>
      <w:sdtEndPr>
        <w:rPr>
          <w:rFonts w:hint="eastAsia" w:ascii="仿宋_GB2312" w:eastAsia="仿宋_GB2312"/>
          <w:sz w:val="28"/>
          <w:szCs w:val="28"/>
        </w:rPr>
      </w:sdtEndPr>
      <w:sdtContent>
        <w:r>
          <w:rPr>
            <w:rFonts w:hint="eastAsia" w:ascii="仿宋_GB2312" w:eastAsia="仿宋_GB2312"/>
            <w:sz w:val="28"/>
            <w:szCs w:val="28"/>
          </w:rPr>
          <w:t xml:space="preserve"> </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rPr>
            <w:rFonts w:ascii="仿宋_GB2312" w:eastAsia="仿宋_GB2312"/>
            <w:sz w:val="28"/>
            <w:szCs w:val="28"/>
            <w:lang w:val="zh-CN"/>
          </w:rPr>
          <w:t>1</w:t>
        </w:r>
        <w:r>
          <w:rPr>
            <w:rFonts w:hint="eastAsia" w:ascii="仿宋_GB2312" w:eastAsia="仿宋_GB2312"/>
            <w:sz w:val="28"/>
            <w:szCs w:val="28"/>
          </w:rPr>
          <w:fldChar w:fldCharType="end"/>
        </w:r>
        <w:r>
          <w:rPr>
            <w:rFonts w:hint="eastAsia" w:ascii="仿宋_GB2312" w:eastAsia="仿宋_GB2312"/>
            <w:sz w:val="28"/>
            <w:szCs w:val="28"/>
          </w:rPr>
          <w:t xml:space="preserve"> </w:t>
        </w:r>
      </w:sdtContent>
    </w:sdt>
    <w:r>
      <w:rPr>
        <w:rFonts w:hint="eastAsia" w:ascii="仿宋_GB2312" w:eastAsia="仿宋_GB2312"/>
        <w:sz w:val="28"/>
        <w:szCs w:val="28"/>
      </w:rPr>
      <w:t xml:space="preserve">— </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9971626"/>
      <w:docPartObj>
        <w:docPartGallery w:val="AutoText"/>
      </w:docPartObj>
    </w:sdtPr>
    <w:sdtContent>
      <w:p>
        <w:pPr>
          <w:pStyle w:val="5"/>
          <w:ind w:firstLine="90" w:firstLineChars="50"/>
        </w:pPr>
        <w:r>
          <w:rPr>
            <w:rFonts w:hint="eastAsia" w:ascii="仿宋_GB2312" w:eastAsia="仿宋_GB2312"/>
            <w:sz w:val="28"/>
            <w:szCs w:val="28"/>
          </w:rPr>
          <w:t xml:space="preserve">— </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rPr>
            <w:rFonts w:ascii="仿宋_GB2312" w:eastAsia="仿宋_GB2312"/>
            <w:sz w:val="28"/>
            <w:szCs w:val="28"/>
            <w:lang w:val="zh-CN"/>
          </w:rPr>
          <w:t>2</w:t>
        </w:r>
        <w:r>
          <w:rPr>
            <w:rFonts w:hint="eastAsia" w:ascii="仿宋_GB2312" w:eastAsia="仿宋_GB2312"/>
            <w:sz w:val="28"/>
            <w:szCs w:val="28"/>
          </w:rPr>
          <w:fldChar w:fldCharType="end"/>
        </w:r>
        <w:r>
          <w:rPr>
            <w:rFonts w:hint="eastAsia" w:ascii="仿宋_GB2312" w:eastAsia="仿宋_GB2312"/>
            <w:sz w:val="28"/>
            <w:szCs w:val="28"/>
          </w:rPr>
          <w:t xml:space="preserve"> —</w:t>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3ODBmZTMxYzc3ZmVhNTMwOGMwMzdjNWUxNDAxOTcifQ=="/>
  </w:docVars>
  <w:rsids>
    <w:rsidRoot w:val="00CF69E3"/>
    <w:rsid w:val="000F44D4"/>
    <w:rsid w:val="001071EF"/>
    <w:rsid w:val="0016434B"/>
    <w:rsid w:val="001A41F9"/>
    <w:rsid w:val="001B2995"/>
    <w:rsid w:val="001D524A"/>
    <w:rsid w:val="001F740E"/>
    <w:rsid w:val="0022733B"/>
    <w:rsid w:val="003D26E4"/>
    <w:rsid w:val="00477AFE"/>
    <w:rsid w:val="004D1BE7"/>
    <w:rsid w:val="00532814"/>
    <w:rsid w:val="00537C29"/>
    <w:rsid w:val="00557216"/>
    <w:rsid w:val="005B281F"/>
    <w:rsid w:val="0062488A"/>
    <w:rsid w:val="00636ABB"/>
    <w:rsid w:val="006D6E2F"/>
    <w:rsid w:val="00726897"/>
    <w:rsid w:val="007873A3"/>
    <w:rsid w:val="008131A8"/>
    <w:rsid w:val="00825E40"/>
    <w:rsid w:val="00836DD0"/>
    <w:rsid w:val="00856190"/>
    <w:rsid w:val="008D3926"/>
    <w:rsid w:val="00A234F7"/>
    <w:rsid w:val="00B5015B"/>
    <w:rsid w:val="00BE669E"/>
    <w:rsid w:val="00C23EE6"/>
    <w:rsid w:val="00C74D80"/>
    <w:rsid w:val="00CA18ED"/>
    <w:rsid w:val="00CF69E3"/>
    <w:rsid w:val="00D1755F"/>
    <w:rsid w:val="00F24BB9"/>
    <w:rsid w:val="06605704"/>
    <w:rsid w:val="0CE360B2"/>
    <w:rsid w:val="159E7205"/>
    <w:rsid w:val="1CD736DF"/>
    <w:rsid w:val="386D639F"/>
    <w:rsid w:val="3C2E550F"/>
    <w:rsid w:val="4400471D"/>
    <w:rsid w:val="58E578B7"/>
    <w:rsid w:val="7E2F6E92"/>
    <w:rsid w:val="7FA12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7"/>
    <w:qFormat/>
    <w:uiPriority w:val="0"/>
    <w:pPr>
      <w:spacing w:beforeAutospacing="1" w:afterAutospacing="1"/>
      <w:jc w:val="left"/>
      <w:outlineLvl w:val="0"/>
    </w:pPr>
    <w:rPr>
      <w:rFonts w:hint="eastAsia" w:ascii="宋体" w:hAnsi="宋体" w:cs="Times New Roman"/>
      <w:b/>
      <w:bCs/>
      <w:kern w:val="44"/>
      <w:sz w:val="48"/>
      <w:szCs w:val="48"/>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16"/>
    <w:qFormat/>
    <w:uiPriority w:val="1"/>
    <w:rPr>
      <w:rFonts w:ascii="宋体" w:hAnsi="宋体" w:cs="宋体"/>
      <w:sz w:val="32"/>
      <w:szCs w:val="32"/>
      <w:lang w:val="zh-CN" w:bidi="zh-CN"/>
    </w:rPr>
  </w:style>
  <w:style w:type="paragraph" w:styleId="4">
    <w:name w:val="Date"/>
    <w:basedOn w:val="1"/>
    <w:next w:val="1"/>
    <w:link w:val="15"/>
    <w:semiHidden/>
    <w:unhideWhenUsed/>
    <w:uiPriority w:val="0"/>
    <w:pPr>
      <w:ind w:left="100" w:leftChars="2500"/>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nhideWhenUsed/>
    <w:uiPriority w:val="0"/>
  </w:style>
  <w:style w:type="character" w:styleId="12">
    <w:name w:val="Hyperlink"/>
    <w:basedOn w:val="10"/>
    <w:unhideWhenUsed/>
    <w:uiPriority w:val="99"/>
    <w:rPr>
      <w:color w:val="0000FF"/>
      <w:u w:val="single"/>
    </w:rPr>
  </w:style>
  <w:style w:type="character" w:customStyle="1" w:styleId="13">
    <w:name w:val="页眉 Char"/>
    <w:basedOn w:val="10"/>
    <w:link w:val="6"/>
    <w:uiPriority w:val="99"/>
    <w:rPr>
      <w:sz w:val="18"/>
      <w:szCs w:val="18"/>
    </w:rPr>
  </w:style>
  <w:style w:type="character" w:customStyle="1" w:styleId="14">
    <w:name w:val="页脚 Char"/>
    <w:basedOn w:val="10"/>
    <w:link w:val="5"/>
    <w:uiPriority w:val="99"/>
    <w:rPr>
      <w:sz w:val="18"/>
      <w:szCs w:val="18"/>
    </w:rPr>
  </w:style>
  <w:style w:type="character" w:customStyle="1" w:styleId="15">
    <w:name w:val="日期 Char"/>
    <w:basedOn w:val="10"/>
    <w:link w:val="4"/>
    <w:semiHidden/>
    <w:uiPriority w:val="0"/>
    <w:rPr>
      <w:rFonts w:ascii="Calibri" w:hAnsi="Calibri" w:cs="黑体"/>
      <w:kern w:val="2"/>
      <w:sz w:val="21"/>
      <w:szCs w:val="22"/>
    </w:rPr>
  </w:style>
  <w:style w:type="character" w:customStyle="1" w:styleId="16">
    <w:name w:val="正文文本 Char"/>
    <w:basedOn w:val="10"/>
    <w:link w:val="3"/>
    <w:qFormat/>
    <w:uiPriority w:val="1"/>
    <w:rPr>
      <w:rFonts w:ascii="宋体" w:hAnsi="宋体" w:cs="宋体"/>
      <w:kern w:val="2"/>
      <w:sz w:val="32"/>
      <w:szCs w:val="32"/>
      <w:lang w:val="zh-CN" w:bidi="zh-CN"/>
    </w:rPr>
  </w:style>
  <w:style w:type="character" w:customStyle="1" w:styleId="17">
    <w:name w:val="标题 1 Char"/>
    <w:basedOn w:val="10"/>
    <w:link w:val="2"/>
    <w:uiPriority w:val="0"/>
    <w:rPr>
      <w:rFonts w:ascii="宋体" w:hAnsi="宋体"/>
      <w:b/>
      <w:bCs/>
      <w:kern w:val="44"/>
      <w:sz w:val="48"/>
      <w:szCs w:val="48"/>
    </w:rPr>
  </w:style>
  <w:style w:type="character" w:customStyle="1" w:styleId="18">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12</Pages>
  <Words>4691</Words>
  <Characters>4773</Characters>
  <Lines>51</Lines>
  <Paragraphs>14</Paragraphs>
  <TotalTime>11</TotalTime>
  <ScaleCrop>false</ScaleCrop>
  <LinksUpToDate>false</LinksUpToDate>
  <CharactersWithSpaces>4777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2023-06-19T03:01:00Z</dcterms:created>
  <dc:creator>he haidong</dc:creator>
  <cp:lastModifiedBy>Administrator</cp:lastModifiedBy>
  <dcterms:modified xsi:type="dcterms:W3CDTF">2023-06-19T06:11:01Z</dcterms:modified>
  <dc:title>青岛市住房和城乡建设局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588649FE5F3742B381BBBC6C968D0191_13</vt:lpwstr>
  </property>
</Properties>
</file>