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30" w:lineRule="exact"/>
        <w:jc w:val="center"/>
        <w:rPr>
          <w:rFonts w:ascii="方正小标宋简体" w:hAnsi="方正小标宋简体" w:eastAsia="方正小标宋简体" w:cs="方正小标宋简体"/>
          <w:color w:val="000000" w:themeColor="text1"/>
          <w:sz w:val="44"/>
          <w:szCs w:val="44"/>
        </w:rPr>
      </w:pPr>
    </w:p>
    <w:p>
      <w:pPr>
        <w:spacing w:line="630" w:lineRule="exact"/>
        <w:jc w:val="center"/>
        <w:rPr>
          <w:rFonts w:ascii="方正小标宋简体" w:hAnsi="方正小标宋简体" w:eastAsia="方正小标宋简体" w:cs="方正小标宋简体"/>
          <w:color w:val="000000" w:themeColor="text1"/>
          <w:sz w:val="44"/>
          <w:szCs w:val="44"/>
        </w:rPr>
      </w:pPr>
    </w:p>
    <w:p>
      <w:pPr>
        <w:spacing w:line="360" w:lineRule="auto"/>
        <w:jc w:val="center"/>
        <w:rPr>
          <w:rFonts w:ascii="方正小标宋简体" w:hAnsi="方正小标宋简体" w:eastAsia="方正小标宋简体" w:cs="方正小标宋简体"/>
          <w:color w:val="000000" w:themeColor="text1"/>
          <w:sz w:val="52"/>
          <w:szCs w:val="52"/>
        </w:rPr>
      </w:pPr>
      <w:r>
        <w:rPr>
          <w:rFonts w:hint="eastAsia" w:ascii="方正小标宋简体" w:hAnsi="方正小标宋简体" w:eastAsia="方正小标宋简体" w:cs="方正小标宋简体"/>
          <w:color w:val="000000" w:themeColor="text1"/>
          <w:sz w:val="52"/>
          <w:szCs w:val="52"/>
        </w:rPr>
        <w:t>全省住建领域安全生产包市督导帮扶</w:t>
      </w:r>
    </w:p>
    <w:p>
      <w:pPr>
        <w:spacing w:line="360" w:lineRule="auto"/>
        <w:jc w:val="center"/>
        <w:rPr>
          <w:rFonts w:ascii="方正小标宋简体" w:hAnsi="方正小标宋简体" w:eastAsia="方正小标宋简体" w:cs="方正小标宋简体"/>
          <w:color w:val="000000" w:themeColor="text1"/>
          <w:sz w:val="52"/>
          <w:szCs w:val="52"/>
        </w:rPr>
      </w:pPr>
      <w:r>
        <w:rPr>
          <w:rFonts w:hint="eastAsia" w:ascii="方正小标宋简体" w:hAnsi="方正小标宋简体" w:eastAsia="方正小标宋简体" w:cs="方正小标宋简体"/>
          <w:color w:val="000000" w:themeColor="text1"/>
          <w:sz w:val="52"/>
          <w:szCs w:val="52"/>
        </w:rPr>
        <w:t>工作手册</w:t>
      </w: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rPr>
          <w:rFonts w:ascii="方正小标宋简体" w:hAnsi="方正小标宋简体" w:eastAsia="方正小标宋简体" w:cs="方正小标宋简体"/>
          <w:color w:val="000000" w:themeColor="text1"/>
          <w:sz w:val="32"/>
          <w:szCs w:val="32"/>
        </w:rPr>
      </w:pPr>
    </w:p>
    <w:p>
      <w:pPr>
        <w:spacing w:line="630" w:lineRule="exact"/>
        <w:jc w:val="center"/>
        <w:rPr>
          <w:rFonts w:ascii="方正小标宋简体" w:hAnsi="方正小标宋简体" w:eastAsia="方正小标宋简体" w:cs="方正小标宋简体"/>
          <w:color w:val="000000" w:themeColor="text1"/>
          <w:sz w:val="32"/>
          <w:szCs w:val="32"/>
        </w:rPr>
        <w:sectPr>
          <w:footerReference r:id="rId3" w:type="default"/>
          <w:pgSz w:w="11906" w:h="16838"/>
          <w:pgMar w:top="2098" w:right="1474" w:bottom="1984" w:left="1474" w:header="720" w:footer="720" w:gutter="0"/>
          <w:cols w:space="0" w:num="1"/>
          <w:docGrid w:type="lines" w:linePitch="317" w:charSpace="0"/>
        </w:sectPr>
      </w:pPr>
      <w:r>
        <w:rPr>
          <w:rFonts w:hint="eastAsia" w:ascii="方正小标宋简体" w:hAnsi="方正小标宋简体" w:eastAsia="方正小标宋简体" w:cs="方正小标宋简体"/>
          <w:color w:val="000000" w:themeColor="text1"/>
          <w:sz w:val="32"/>
          <w:szCs w:val="32"/>
        </w:rPr>
        <w:t>2024 年1月</w:t>
      </w:r>
    </w:p>
    <w:p>
      <w:pPr>
        <w:pStyle w:val="12"/>
        <w:rPr>
          <w:rFonts w:ascii="方正小标宋简体" w:hAnsi="方正小标宋简体" w:eastAsia="方正小标宋简体" w:cs="方正小标宋简体"/>
          <w:bCs/>
          <w:color w:val="000000" w:themeColor="text1"/>
          <w:sz w:val="44"/>
          <w:lang w:val="zh-CN"/>
        </w:rPr>
      </w:pPr>
    </w:p>
    <w:sdt>
      <w:sdtPr>
        <w:rPr>
          <w:rFonts w:ascii="宋体" w:hAnsi="宋体" w:eastAsia="宋体"/>
        </w:rPr>
        <w:id w:val="147476749"/>
        <w:docPartObj>
          <w:docPartGallery w:val="Table of Contents"/>
          <w:docPartUnique/>
        </w:docPartObj>
      </w:sdtPr>
      <w:sdtEndPr>
        <w:rPr>
          <w:rFonts w:hint="eastAsia" w:ascii="方正小标宋简体" w:hAnsi="方正小标宋简体" w:eastAsia="方正小标宋简体" w:cs="方正小标宋简体"/>
          <w:color w:val="000000" w:themeColor="text1"/>
          <w:szCs w:val="44"/>
        </w:rPr>
      </w:sdtEndPr>
      <w:sdtContent>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目录</w:t>
          </w:r>
        </w:p>
        <w:p>
          <w:pPr>
            <w:pStyle w:val="12"/>
            <w:tabs>
              <w:tab w:val="right" w:leader="dot" w:pos="8958"/>
            </w:tabs>
            <w:ind w:firstLine="0"/>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color w:val="000000" w:themeColor="text1"/>
              <w:sz w:val="32"/>
              <w:szCs w:val="32"/>
            </w:rPr>
            <w:t>一、</w:t>
          </w:r>
          <w:r>
            <w:rPr>
              <w:rFonts w:hint="eastAsia" w:ascii="方正小标宋简体" w:hAnsi="方正小标宋简体" w:eastAsia="方正小标宋简体" w:cs="方正小标宋简体"/>
              <w:color w:val="000000" w:themeColor="text1"/>
              <w:sz w:val="32"/>
              <w:szCs w:val="32"/>
            </w:rPr>
            <w:fldChar w:fldCharType="begin"/>
          </w:r>
          <w:r>
            <w:rPr>
              <w:rFonts w:hint="eastAsia" w:ascii="方正小标宋简体" w:hAnsi="方正小标宋简体" w:eastAsia="方正小标宋简体" w:cs="方正小标宋简体"/>
              <w:color w:val="000000" w:themeColor="text1"/>
              <w:sz w:val="32"/>
              <w:szCs w:val="32"/>
            </w:rPr>
            <w:instrText xml:space="preserve">TOC \o "1-3" \h \u </w:instrText>
          </w:r>
          <w:r>
            <w:rPr>
              <w:rFonts w:hint="eastAsia" w:ascii="方正小标宋简体" w:hAnsi="方正小标宋简体" w:eastAsia="方正小标宋简体" w:cs="方正小标宋简体"/>
              <w:color w:val="000000" w:themeColor="text1"/>
              <w:sz w:val="32"/>
              <w:szCs w:val="32"/>
            </w:rPr>
            <w:fldChar w:fldCharType="separate"/>
          </w:r>
          <w:r>
            <w:fldChar w:fldCharType="begin"/>
          </w:r>
          <w:r>
            <w:instrText xml:space="preserve"> HYPERLINK \l "_Toc26740" </w:instrText>
          </w:r>
          <w:r>
            <w:fldChar w:fldCharType="separate"/>
          </w:r>
          <w:r>
            <w:rPr>
              <w:rFonts w:hint="eastAsia" w:ascii="方正小标宋简体" w:hAnsi="方正小标宋简体" w:eastAsia="方正小标宋简体" w:cs="方正小标宋简体"/>
              <w:sz w:val="32"/>
              <w:szCs w:val="32"/>
            </w:rPr>
            <w:t>全省住建领域安全生产包市督导帮扶工作方案</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_Toc26740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1</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12"/>
            <w:tabs>
              <w:tab w:val="right" w:leader="dot" w:pos="8958"/>
            </w:tabs>
            <w:ind w:firstLine="0"/>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color w:val="000000" w:themeColor="text1"/>
              <w:sz w:val="32"/>
              <w:szCs w:val="32"/>
            </w:rPr>
            <w:t>二、</w:t>
          </w:r>
          <w:r>
            <w:fldChar w:fldCharType="begin"/>
          </w:r>
          <w:r>
            <w:instrText xml:space="preserve"> HYPERLINK \l "_Toc24297" </w:instrText>
          </w:r>
          <w:r>
            <w:fldChar w:fldCharType="separate"/>
          </w:r>
          <w:r>
            <w:rPr>
              <w:rFonts w:hint="eastAsia" w:ascii="方正小标宋简体" w:hAnsi="方正小标宋简体" w:eastAsia="方正小标宋简体" w:cs="方正小标宋简体"/>
              <w:sz w:val="32"/>
              <w:szCs w:val="32"/>
            </w:rPr>
            <w:t>全省住建系统安全生产督导帮扶指南</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_Toc24297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10</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13"/>
            <w:tabs>
              <w:tab w:val="right" w:leader="dot" w:pos="8958"/>
            </w:tabs>
            <w:rPr>
              <w:rFonts w:ascii="方正小标宋简体" w:hAnsi="方正小标宋简体" w:eastAsia="方正小标宋简体" w:cs="方正小标宋简体"/>
              <w:sz w:val="32"/>
              <w:szCs w:val="32"/>
            </w:rPr>
          </w:pPr>
          <w:r>
            <w:fldChar w:fldCharType="begin"/>
          </w:r>
          <w:r>
            <w:instrText xml:space="preserve"> HYPERLINK \l "_Toc22090" </w:instrText>
          </w:r>
          <w:r>
            <w:fldChar w:fldCharType="separate"/>
          </w:r>
          <w:r>
            <w:rPr>
              <w:rFonts w:hint="eastAsia" w:ascii="方正小标宋简体" w:hAnsi="方正小标宋简体" w:eastAsia="方正小标宋简体" w:cs="方正小标宋简体"/>
              <w:sz w:val="32"/>
              <w:szCs w:val="32"/>
            </w:rPr>
            <w:t>（一）城镇燃气方面</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_Toc22090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10</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13"/>
            <w:tabs>
              <w:tab w:val="right" w:leader="dot" w:pos="8958"/>
            </w:tabs>
            <w:rPr>
              <w:rFonts w:ascii="方正小标宋简体" w:hAnsi="方正小标宋简体" w:eastAsia="方正小标宋简体" w:cs="方正小标宋简体"/>
              <w:color w:val="FF0000"/>
              <w:sz w:val="32"/>
              <w:szCs w:val="32"/>
            </w:rPr>
          </w:pPr>
          <w:r>
            <w:rPr>
              <w:color w:val="FF0000"/>
            </w:rPr>
            <w:fldChar w:fldCharType="begin"/>
          </w:r>
          <w:r>
            <w:rPr>
              <w:color w:val="FF0000"/>
            </w:rPr>
            <w:instrText xml:space="preserve"> HYPERLINK \l "_Toc5845" </w:instrText>
          </w:r>
          <w:r>
            <w:rPr>
              <w:color w:val="FF0000"/>
            </w:rPr>
            <w:fldChar w:fldCharType="separate"/>
          </w:r>
          <w:r>
            <w:rPr>
              <w:rFonts w:hint="eastAsia" w:ascii="方正小标宋简体" w:hAnsi="方正小标宋简体" w:eastAsia="方正小标宋简体" w:cs="方正小标宋简体"/>
              <w:color w:val="FF0000"/>
              <w:sz w:val="32"/>
              <w:szCs w:val="32"/>
            </w:rPr>
            <w:t>（二）房屋市政工程施工方面</w:t>
          </w:r>
          <w:r>
            <w:rPr>
              <w:rFonts w:hint="eastAsia" w:ascii="方正小标宋简体" w:hAnsi="方正小标宋简体" w:eastAsia="方正小标宋简体" w:cs="方正小标宋简体"/>
              <w:color w:val="FF0000"/>
              <w:sz w:val="32"/>
              <w:szCs w:val="32"/>
            </w:rPr>
            <w:tab/>
          </w:r>
          <w:r>
            <w:rPr>
              <w:rFonts w:hint="eastAsia" w:ascii="方正小标宋简体" w:hAnsi="方正小标宋简体" w:eastAsia="方正小标宋简体" w:cs="方正小标宋简体"/>
              <w:color w:val="FF0000"/>
              <w:sz w:val="32"/>
              <w:szCs w:val="32"/>
            </w:rPr>
            <w:fldChar w:fldCharType="begin"/>
          </w:r>
          <w:r>
            <w:rPr>
              <w:rFonts w:hint="eastAsia" w:ascii="方正小标宋简体" w:hAnsi="方正小标宋简体" w:eastAsia="方正小标宋简体" w:cs="方正小标宋简体"/>
              <w:color w:val="FF0000"/>
              <w:sz w:val="32"/>
              <w:szCs w:val="32"/>
            </w:rPr>
            <w:instrText xml:space="preserve"> PAGEREF _Toc5845 \h </w:instrText>
          </w:r>
          <w:r>
            <w:rPr>
              <w:rFonts w:hint="eastAsia" w:ascii="方正小标宋简体" w:hAnsi="方正小标宋简体" w:eastAsia="方正小标宋简体" w:cs="方正小标宋简体"/>
              <w:color w:val="FF0000"/>
              <w:sz w:val="32"/>
              <w:szCs w:val="32"/>
            </w:rPr>
            <w:fldChar w:fldCharType="separate"/>
          </w:r>
          <w:r>
            <w:rPr>
              <w:rFonts w:hint="eastAsia" w:ascii="方正小标宋简体" w:hAnsi="方正小标宋简体" w:eastAsia="方正小标宋简体" w:cs="方正小标宋简体"/>
              <w:color w:val="FF0000"/>
              <w:sz w:val="32"/>
              <w:szCs w:val="32"/>
            </w:rPr>
            <w:t>30</w:t>
          </w:r>
          <w:r>
            <w:rPr>
              <w:rFonts w:hint="eastAsia" w:ascii="方正小标宋简体" w:hAnsi="方正小标宋简体" w:eastAsia="方正小标宋简体" w:cs="方正小标宋简体"/>
              <w:color w:val="FF0000"/>
              <w:sz w:val="32"/>
              <w:szCs w:val="32"/>
            </w:rPr>
            <w:fldChar w:fldCharType="end"/>
          </w:r>
          <w:r>
            <w:rPr>
              <w:rFonts w:hint="eastAsia" w:ascii="方正小标宋简体" w:hAnsi="方正小标宋简体" w:eastAsia="方正小标宋简体" w:cs="方正小标宋简体"/>
              <w:color w:val="FF0000"/>
              <w:sz w:val="32"/>
              <w:szCs w:val="32"/>
            </w:rPr>
            <w:fldChar w:fldCharType="end"/>
          </w:r>
        </w:p>
        <w:p>
          <w:pPr>
            <w:pStyle w:val="13"/>
            <w:tabs>
              <w:tab w:val="right" w:leader="dot" w:pos="8958"/>
            </w:tabs>
            <w:rPr>
              <w:rFonts w:ascii="方正小标宋简体" w:hAnsi="方正小标宋简体" w:eastAsia="方正小标宋简体" w:cs="方正小标宋简体"/>
              <w:sz w:val="32"/>
              <w:szCs w:val="32"/>
            </w:rPr>
          </w:pPr>
          <w:r>
            <w:fldChar w:fldCharType="begin"/>
          </w:r>
          <w:r>
            <w:instrText xml:space="preserve"> HYPERLINK \l "_Toc31838" </w:instrText>
          </w:r>
          <w:r>
            <w:fldChar w:fldCharType="separate"/>
          </w:r>
          <w:r>
            <w:rPr>
              <w:rFonts w:hint="eastAsia" w:ascii="方正小标宋简体" w:hAnsi="方正小标宋简体" w:eastAsia="方正小标宋简体" w:cs="方正小标宋简体"/>
              <w:sz w:val="32"/>
              <w:szCs w:val="32"/>
            </w:rPr>
            <w:t>（三）城乡房屋建筑方面</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_Toc31838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38</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13"/>
            <w:tabs>
              <w:tab w:val="right" w:leader="dot" w:pos="8958"/>
            </w:tabs>
            <w:rPr>
              <w:rFonts w:ascii="方正小标宋简体" w:hAnsi="方正小标宋简体" w:eastAsia="方正小标宋简体" w:cs="方正小标宋简体"/>
              <w:sz w:val="32"/>
              <w:szCs w:val="32"/>
            </w:rPr>
          </w:pPr>
          <w:r>
            <w:fldChar w:fldCharType="begin"/>
          </w:r>
          <w:r>
            <w:instrText xml:space="preserve"> HYPERLINK \l "_Toc17592" </w:instrText>
          </w:r>
          <w:r>
            <w:fldChar w:fldCharType="separate"/>
          </w:r>
          <w:r>
            <w:rPr>
              <w:rFonts w:hint="eastAsia" w:ascii="方正小标宋简体" w:hAnsi="方正小标宋简体" w:eastAsia="方正小标宋简体" w:cs="方正小标宋简体"/>
              <w:sz w:val="32"/>
              <w:szCs w:val="32"/>
            </w:rPr>
            <w:t>（四）</w:t>
          </w:r>
          <w:r>
            <w:rPr>
              <w:rFonts w:hint="eastAsia" w:ascii="方正小标宋简体" w:hAnsi="方正小标宋简体" w:eastAsia="方正小标宋简体" w:cs="方正小标宋简体"/>
              <w:kern w:val="0"/>
              <w:sz w:val="32"/>
              <w:szCs w:val="32"/>
            </w:rPr>
            <w:t>市政设施运行部分</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_Toc17592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41</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7"/>
            <w:tabs>
              <w:tab w:val="right" w:leader="dot" w:pos="8958"/>
            </w:tabs>
            <w:ind w:firstLine="440" w:firstLineChars="200"/>
            <w:rPr>
              <w:rFonts w:ascii="方正小标宋简体" w:hAnsi="方正小标宋简体" w:eastAsia="方正小标宋简体" w:cs="方正小标宋简体"/>
              <w:sz w:val="32"/>
              <w:szCs w:val="32"/>
            </w:rPr>
          </w:pPr>
          <w:r>
            <w:fldChar w:fldCharType="begin"/>
          </w:r>
          <w:r>
            <w:instrText xml:space="preserve"> HYPERLINK \l "_Toc30073" </w:instrText>
          </w:r>
          <w:r>
            <w:fldChar w:fldCharType="separate"/>
          </w:r>
          <w:r>
            <w:rPr>
              <w:rFonts w:hint="eastAsia" w:ascii="方正小标宋简体" w:hAnsi="方正小标宋简体" w:eastAsia="方正小标宋简体" w:cs="方正小标宋简体"/>
              <w:bCs/>
              <w:kern w:val="2"/>
              <w:sz w:val="32"/>
              <w:szCs w:val="32"/>
            </w:rPr>
            <w:t>1.</w:t>
          </w:r>
          <w:r>
            <w:rPr>
              <w:rFonts w:hint="eastAsia" w:ascii="方正小标宋简体" w:hAnsi="方正小标宋简体" w:eastAsia="方正小标宋简体" w:cs="方正小标宋简体"/>
              <w:bCs/>
              <w:kern w:val="2"/>
              <w:sz w:val="32"/>
              <w:szCs w:val="32"/>
              <w:lang w:val="zh-CN"/>
            </w:rPr>
            <w:t>城市排水有限空间作业</w:t>
          </w:r>
          <w:r>
            <w:rPr>
              <w:rFonts w:hint="eastAsia" w:ascii="方正小标宋简体" w:hAnsi="方正小标宋简体" w:eastAsia="方正小标宋简体" w:cs="方正小标宋简体"/>
              <w:bCs/>
              <w:kern w:val="2"/>
              <w:sz w:val="32"/>
              <w:szCs w:val="32"/>
            </w:rPr>
            <w:t>方面</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_Toc30073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41</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7"/>
            <w:tabs>
              <w:tab w:val="right" w:leader="dot" w:pos="8958"/>
            </w:tabs>
            <w:ind w:firstLine="440" w:firstLineChars="200"/>
            <w:rPr>
              <w:rFonts w:ascii="方正小标宋简体" w:hAnsi="方正小标宋简体" w:eastAsia="方正小标宋简体" w:cs="方正小标宋简体"/>
              <w:sz w:val="32"/>
              <w:szCs w:val="32"/>
            </w:rPr>
          </w:pPr>
          <w:r>
            <w:fldChar w:fldCharType="begin"/>
          </w:r>
          <w:r>
            <w:instrText xml:space="preserve"> HYPERLINK \l "_Toc10168" </w:instrText>
          </w:r>
          <w:r>
            <w:fldChar w:fldCharType="separate"/>
          </w:r>
          <w:r>
            <w:rPr>
              <w:rFonts w:hint="eastAsia" w:ascii="方正小标宋简体" w:hAnsi="方正小标宋简体" w:eastAsia="方正小标宋简体" w:cs="方正小标宋简体"/>
              <w:bCs/>
              <w:sz w:val="32"/>
              <w:szCs w:val="32"/>
            </w:rPr>
            <w:t>2.城市公园方面</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_Toc10168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45</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13"/>
            <w:tabs>
              <w:tab w:val="right" w:leader="dot" w:pos="8958"/>
            </w:tabs>
            <w:rPr>
              <w:rFonts w:ascii="方正小标宋简体" w:hAnsi="方正小标宋简体" w:eastAsia="方正小标宋简体" w:cs="方正小标宋简体"/>
              <w:sz w:val="32"/>
              <w:szCs w:val="32"/>
            </w:rPr>
          </w:pPr>
          <w:r>
            <w:fldChar w:fldCharType="begin"/>
          </w:r>
          <w:r>
            <w:instrText xml:space="preserve"> HYPERLINK \l "_Toc23977" </w:instrText>
          </w:r>
          <w:r>
            <w:fldChar w:fldCharType="separate"/>
          </w:r>
          <w:r>
            <w:rPr>
              <w:rFonts w:hint="eastAsia" w:ascii="方正小标宋简体" w:hAnsi="方正小标宋简体" w:eastAsia="方正小标宋简体" w:cs="方正小标宋简体"/>
              <w:sz w:val="32"/>
              <w:szCs w:val="32"/>
            </w:rPr>
            <w:t>（五）物业服务部分</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_Toc23977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50</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13"/>
            <w:tabs>
              <w:tab w:val="right" w:leader="dot" w:pos="8958"/>
            </w:tabs>
            <w:rPr>
              <w:rFonts w:ascii="方正小标宋简体" w:hAnsi="方正小标宋简体" w:eastAsia="方正小标宋简体" w:cs="方正小标宋简体"/>
              <w:sz w:val="32"/>
              <w:szCs w:val="32"/>
            </w:rPr>
          </w:pPr>
          <w:r>
            <w:fldChar w:fldCharType="begin"/>
          </w:r>
          <w:r>
            <w:instrText xml:space="preserve"> HYPERLINK \l "_Toc18236" </w:instrText>
          </w:r>
          <w:r>
            <w:fldChar w:fldCharType="separate"/>
          </w:r>
          <w:r>
            <w:rPr>
              <w:rFonts w:hint="eastAsia" w:ascii="方正小标宋简体" w:hAnsi="方正小标宋简体" w:eastAsia="方正小标宋简体" w:cs="方正小标宋简体"/>
              <w:sz w:val="32"/>
              <w:szCs w:val="32"/>
            </w:rPr>
            <w:t>（六）应急预案和处置方面</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_Toc18236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53</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pStyle w:val="12"/>
            <w:tabs>
              <w:tab w:val="right" w:leader="dot" w:pos="8958"/>
            </w:tabs>
            <w:ind w:firstLine="0"/>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color w:val="000000" w:themeColor="text1"/>
              <w:sz w:val="32"/>
              <w:szCs w:val="32"/>
            </w:rPr>
            <w:t>三、</w:t>
          </w:r>
          <w:r>
            <w:fldChar w:fldCharType="begin"/>
          </w:r>
          <w:r>
            <w:instrText xml:space="preserve"> HYPERLINK \l "_Toc21502" </w:instrText>
          </w:r>
          <w:r>
            <w:fldChar w:fldCharType="separate"/>
          </w:r>
          <w:r>
            <w:rPr>
              <w:rFonts w:hint="eastAsia" w:ascii="方正小标宋简体" w:hAnsi="方正小标宋简体" w:eastAsia="方正小标宋简体" w:cs="方正小标宋简体"/>
              <w:sz w:val="32"/>
              <w:szCs w:val="32"/>
            </w:rPr>
            <w:t>督导帮扶专家和各市联络员名单</w:t>
          </w:r>
          <w:r>
            <w:rPr>
              <w:rFonts w:hint="eastAsia" w:ascii="方正小标宋简体" w:hAnsi="方正小标宋简体" w:eastAsia="方正小标宋简体" w:cs="方正小标宋简体"/>
              <w:sz w:val="32"/>
              <w:szCs w:val="32"/>
            </w:rPr>
            <w:tab/>
          </w:r>
          <w:r>
            <w:rPr>
              <w:rFonts w:hint="eastAsia" w:ascii="方正小标宋简体" w:hAnsi="方正小标宋简体" w:eastAsia="方正小标宋简体" w:cs="方正小标宋简体"/>
              <w:sz w:val="32"/>
              <w:szCs w:val="32"/>
            </w:rPr>
            <w:fldChar w:fldCharType="begin"/>
          </w:r>
          <w:r>
            <w:rPr>
              <w:rFonts w:hint="eastAsia" w:ascii="方正小标宋简体" w:hAnsi="方正小标宋简体" w:eastAsia="方正小标宋简体" w:cs="方正小标宋简体"/>
              <w:sz w:val="32"/>
              <w:szCs w:val="32"/>
            </w:rPr>
            <w:instrText xml:space="preserve"> PAGEREF _Toc21502 \h </w:instrText>
          </w:r>
          <w:r>
            <w:rPr>
              <w:rFonts w:hint="eastAsia" w:ascii="方正小标宋简体" w:hAnsi="方正小标宋简体" w:eastAsia="方正小标宋简体" w:cs="方正小标宋简体"/>
              <w:sz w:val="32"/>
              <w:szCs w:val="32"/>
            </w:rPr>
            <w:fldChar w:fldCharType="separate"/>
          </w:r>
          <w:r>
            <w:rPr>
              <w:rFonts w:hint="eastAsia" w:ascii="方正小标宋简体" w:hAnsi="方正小标宋简体" w:eastAsia="方正小标宋简体" w:cs="方正小标宋简体"/>
              <w:sz w:val="32"/>
              <w:szCs w:val="32"/>
            </w:rPr>
            <w:t>54</w:t>
          </w:r>
          <w:r>
            <w:rPr>
              <w:rFonts w:hint="eastAsia" w:ascii="方正小标宋简体" w:hAnsi="方正小标宋简体" w:eastAsia="方正小标宋简体" w:cs="方正小标宋简体"/>
              <w:sz w:val="32"/>
              <w:szCs w:val="32"/>
            </w:rPr>
            <w:fldChar w:fldCharType="end"/>
          </w:r>
          <w:r>
            <w:rPr>
              <w:rFonts w:hint="eastAsia" w:ascii="方正小标宋简体" w:hAnsi="方正小标宋简体" w:eastAsia="方正小标宋简体" w:cs="方正小标宋简体"/>
              <w:sz w:val="32"/>
              <w:szCs w:val="32"/>
            </w:rPr>
            <w:fldChar w:fldCharType="end"/>
          </w:r>
        </w:p>
        <w:p>
          <w:pPr>
            <w:adjustRightInd w:val="0"/>
            <w:spacing w:line="578" w:lineRule="exact"/>
            <w:outlineLvl w:val="0"/>
            <w:rPr>
              <w:rFonts w:ascii="方正小标宋简体" w:hAnsi="方正小标宋简体" w:eastAsia="方正小标宋简体" w:cs="方正小标宋简体"/>
              <w:color w:val="000000" w:themeColor="text1"/>
              <w:sz w:val="44"/>
              <w:szCs w:val="44"/>
            </w:rPr>
            <w:sectPr>
              <w:footerReference r:id="rId4" w:type="default"/>
              <w:pgSz w:w="11906" w:h="16838"/>
              <w:pgMar w:top="2098" w:right="1474" w:bottom="1984" w:left="1474" w:header="720" w:footer="720" w:gutter="0"/>
              <w:pgNumType w:start="1"/>
              <w:cols w:space="0" w:num="1"/>
              <w:docGrid w:type="lines" w:linePitch="317" w:charSpace="0"/>
            </w:sectPr>
          </w:pPr>
          <w:r>
            <w:rPr>
              <w:rFonts w:hint="eastAsia" w:ascii="方正小标宋简体" w:hAnsi="方正小标宋简体" w:eastAsia="方正小标宋简体" w:cs="方正小标宋简体"/>
              <w:color w:val="000000" w:themeColor="text1"/>
              <w:sz w:val="32"/>
              <w:szCs w:val="32"/>
            </w:rPr>
            <w:fldChar w:fldCharType="end"/>
          </w:r>
          <w:bookmarkStart w:id="31" w:name="_GoBack"/>
          <w:bookmarkEnd w:id="31"/>
        </w:p>
      </w:sdtContent>
    </w:sdt>
    <w:p>
      <w:pPr>
        <w:adjustRightInd w:val="0"/>
        <w:spacing w:line="578" w:lineRule="exact"/>
        <w:jc w:val="center"/>
        <w:outlineLvl w:val="0"/>
        <w:rPr>
          <w:rFonts w:ascii="方正小标宋简体" w:hAnsi="方正小标宋简体" w:eastAsia="方正小标宋简体" w:cs="方正小标宋简体"/>
          <w:color w:val="000000" w:themeColor="text1"/>
          <w:sz w:val="44"/>
          <w:szCs w:val="44"/>
        </w:rPr>
      </w:pPr>
      <w:bookmarkStart w:id="0" w:name="_Toc26740"/>
      <w:r>
        <w:rPr>
          <w:rFonts w:hint="eastAsia" w:ascii="方正小标宋简体" w:hAnsi="方正小标宋简体" w:eastAsia="方正小标宋简体" w:cs="方正小标宋简体"/>
          <w:color w:val="000000" w:themeColor="text1"/>
          <w:sz w:val="44"/>
          <w:szCs w:val="44"/>
        </w:rPr>
        <w:t>全省住建领域安全生产包市督导帮扶</w:t>
      </w:r>
    </w:p>
    <w:p>
      <w:pPr>
        <w:adjustRightInd w:val="0"/>
        <w:spacing w:line="578" w:lineRule="exact"/>
        <w:jc w:val="center"/>
        <w:outlineLvl w:val="0"/>
        <w:rPr>
          <w:rFonts w:ascii="仿宋_GB2312" w:hAnsi="仿宋_GB2312" w:eastAsia="仿宋_GB2312" w:cs="仿宋_GB2312"/>
          <w:color w:val="000000" w:themeColor="text1"/>
          <w:sz w:val="32"/>
          <w:szCs w:val="32"/>
        </w:rPr>
      </w:pPr>
      <w:r>
        <w:rPr>
          <w:rFonts w:hint="eastAsia" w:ascii="方正小标宋简体" w:hAnsi="方正小标宋简体" w:eastAsia="方正小标宋简体" w:cs="方正小标宋简体"/>
          <w:color w:val="000000" w:themeColor="text1"/>
          <w:sz w:val="44"/>
          <w:szCs w:val="44"/>
        </w:rPr>
        <w:t>工作方案</w:t>
      </w:r>
      <w:bookmarkEnd w:id="0"/>
    </w:p>
    <w:p>
      <w:pPr>
        <w:snapToGrid w:val="0"/>
        <w:spacing w:line="578" w:lineRule="exact"/>
        <w:rPr>
          <w:rFonts w:ascii="仿宋_GB2312" w:hAnsi="仿宋_GB2312" w:eastAsia="仿宋_GB2312" w:cs="仿宋_GB2312"/>
          <w:color w:val="000000" w:themeColor="text1"/>
          <w:sz w:val="32"/>
          <w:szCs w:val="32"/>
        </w:rPr>
      </w:pPr>
    </w:p>
    <w:p>
      <w:pPr>
        <w:snapToGrid w:val="0"/>
        <w:spacing w:line="578" w:lineRule="exact"/>
        <w:ind w:firstLine="640" w:firstLineChars="200"/>
        <w:rPr>
          <w:rFonts w:ascii="仿宋_GB2312" w:hAnsi="仿宋_GB2312" w:eastAsia="仿宋_GB2312" w:cs="仿宋_GB2312"/>
          <w:color w:val="000000" w:themeColor="text1"/>
          <w:sz w:val="32"/>
          <w:szCs w:val="32"/>
        </w:rPr>
      </w:pPr>
      <w:bookmarkStart w:id="1" w:name="_Toc16901"/>
      <w:r>
        <w:rPr>
          <w:rFonts w:hint="eastAsia" w:ascii="仿宋_GB2312" w:hAnsi="仿宋_GB2312" w:eastAsia="仿宋_GB2312" w:cs="仿宋_GB2312"/>
          <w:color w:val="000000" w:themeColor="text1"/>
          <w:sz w:val="32"/>
          <w:szCs w:val="32"/>
        </w:rPr>
        <w:t>按照全省安全生产工作专题会议工作要求，省住房城乡建设厅决定自即日起至3月底，在全省分两个阶段（每阶段至少开展1轮）开展全省住建领域安全生产包市督导帮扶工作，现将有关事项通知如下。</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一、总体要求</w:t>
      </w:r>
      <w:bookmarkEnd w:id="1"/>
    </w:p>
    <w:p>
      <w:pPr>
        <w:snapToGrid w:val="0"/>
        <w:spacing w:line="578" w:lineRule="exact"/>
        <w:ind w:firstLine="640" w:firstLineChars="200"/>
        <w:rPr>
          <w:rFonts w:ascii="仿宋_GB2312" w:hAnsi="仿宋_GB2312" w:eastAsia="仿宋_GB2312" w:cs="仿宋_GB2312"/>
          <w:color w:val="000000" w:themeColor="text1"/>
          <w:sz w:val="32"/>
          <w:szCs w:val="32"/>
        </w:rPr>
      </w:pPr>
      <w:bookmarkStart w:id="2" w:name="_Toc17358"/>
      <w:r>
        <w:rPr>
          <w:rFonts w:hint="eastAsia" w:ascii="仿宋_GB2312" w:hAnsi="仿宋_GB2312" w:eastAsia="仿宋_GB2312" w:cs="仿宋_GB2312"/>
          <w:color w:val="000000" w:themeColor="text1"/>
          <w:sz w:val="32"/>
          <w:szCs w:val="32"/>
        </w:rPr>
        <w:t>认真贯彻习近平总书记关于安全生产重要指示批示精神，全面落实党中央、国务院决策部署和省委、省政府工作要求，严格落实安全生产十五条硬措施和“八抓20条”创新措施，压紧压实企业主体责任，扛起扛牢部门监管责任，深刻吸取近期事故教训，通过开展“穿透式”“印证式”“关联式”明查暗访，突出专家查隐患，突出城镇燃气、施工现场消防安全两项重点，把各类风险隐患化解处置到位，全力抓好春节、两会前后住建领域安全生产工作，坚决防范遏制各类事故多发势头。</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二、重点帮扶内容</w:t>
      </w:r>
      <w:bookmarkEnd w:id="2"/>
    </w:p>
    <w:p>
      <w:pPr>
        <w:pStyle w:val="8"/>
        <w:spacing w:after="0" w:line="578" w:lineRule="exact"/>
        <w:ind w:left="0" w:leftChars="0" w:firstLine="640" w:firstLineChars="200"/>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（一）城镇燃气安全方面。</w:t>
      </w:r>
      <w:r>
        <w:rPr>
          <w:rFonts w:hint="eastAsia" w:ascii="仿宋_GB2312" w:hAnsi="仿宋_GB2312" w:eastAsia="仿宋_GB2312" w:cs="仿宋_GB2312"/>
          <w:color w:val="000000" w:themeColor="text1"/>
          <w:sz w:val="32"/>
          <w:szCs w:val="32"/>
        </w:rPr>
        <w:t>1.集中攻坚“回头看”自查情况，全面梳理前期排查出的安全隐患，对没有完成整改的，查阅工作台账；2.各地对照燃气安全分场景执法检查清单，组织再排查、再整治情况；3.依据国家和省城镇燃气安全专项整治工作方案明确的职责分工进展情况；4.工作专班各成员单位组织本行业领域，特别是住建领域开展集中攻坚“回头看”专项行动情况；5.加装用户端安全装置、建设燃气企业在线监控系统、落实入户安检制度、规范瓶装液化石油气配送、打击不合格燃气具及配件、提高应急处置能力、防范既有管网泄漏等“七项重点工作”落实情况。</w:t>
      </w:r>
    </w:p>
    <w:p>
      <w:pPr>
        <w:pStyle w:val="20"/>
        <w:spacing w:line="578"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（二）房屋市政工程施工安全方面。</w:t>
      </w:r>
      <w:r>
        <w:rPr>
          <w:rFonts w:hint="eastAsia" w:ascii="仿宋_GB2312" w:hAnsi="仿宋_GB2312" w:eastAsia="仿宋_GB2312" w:cs="仿宋_GB2312"/>
          <w:color w:val="FF0000"/>
          <w:sz w:val="32"/>
          <w:szCs w:val="32"/>
        </w:rPr>
        <w:t>1.施工现场消防安全：对正常施工项目，临时消防设施与在建工程的施工是否同步设置，动火作业是否进行审批和监护，仓库、办公区、生活区防火措施是否落实，工地食堂的液化气使用是否安全；对停工项目，机具设备、闸电设施是否处于安全状态，重点防火部位或区域是否设置防火警示标识，是否严禁闲杂人员随意进场，是否安排专人值班、巡检；对停工整改项目，是否落实每日巡查、每日报告，发现问题及时处置，是否真正停工、是否已落实整改措施；2.检查正常施工项目关键岗位人员是否在岗履职，危大工程管控是否到位，防高坠、坍塌、起重伤害、触电、中毒窒息事故安全措施是否落实；3.对日常巡检发现的安全隐患，是否已建立台账、逐条整改销号，处理处罚到位；4.是否能实现视频汇聚；5.主管部门贯彻落实全国、全省安全生产会议精神情况；6.落实国务院安全生产十五条硬措施、省委省政府“八抓20条”创新措施、企业（项目）分类分级监管、危大工程管控、安全总监、安全日志、班前晨会、举报奖励等情况；7.生产安全事故处理处罚、警示教育情况，项目检查、事故隐患排查整改、事故调查报告、处罚信息上传全国工程质量安全信息监管平台情况；8.“开工第一课”活动开展情况，“六个不许开工”落实情况（未履行建设程序、未纳入系统监管、关键岗位人员未到岗履职、安全条件不达标、教育培训不到位、扬尘治理“六个百分百”不落实）。</w:t>
      </w:r>
    </w:p>
    <w:p>
      <w:pPr>
        <w:pStyle w:val="12"/>
        <w:spacing w:line="578" w:lineRule="exact"/>
        <w:ind w:firstLine="640" w:firstLineChars="200"/>
        <w:rPr>
          <w:rFonts w:hAnsi="仿宋_GB2312" w:cs="仿宋_GB2312"/>
          <w:color w:val="000000" w:themeColor="text1"/>
          <w:sz w:val="32"/>
          <w:szCs w:val="32"/>
        </w:rPr>
      </w:pPr>
      <w:r>
        <w:rPr>
          <w:rFonts w:hint="eastAsia" w:hAnsi="仿宋_GB2312" w:cs="仿宋_GB2312"/>
          <w:color w:val="000000" w:themeColor="text1"/>
          <w:sz w:val="32"/>
          <w:szCs w:val="32"/>
        </w:rPr>
        <w:t>（三）城乡房屋建筑安全方面。1.经营性自建房重点检查</w:t>
      </w:r>
      <w:r>
        <w:rPr>
          <w:rFonts w:hint="eastAsia" w:hAnsi="仿宋_GB2312" w:cs="仿宋_GB2312"/>
          <w:color w:val="000000" w:themeColor="text1"/>
          <w:sz w:val="32"/>
          <w:szCs w:val="32"/>
        </w:rPr>
        <w:t>隐患是否全部整治，是否真正落实了整治措施，有无“漏报”“瞒报”和弄虚作假的现象；2.非经营性自建房重点检查底数是否全部摸清，房屋属性和照片录入是否精准，房屋安全性初判是否准确，C、D级危房管控是否严格到位，是否存在擅自解封使用等情况；3.针对国家第三方现场核查、四进工作队巡查、省委审计办审计调查、包市督导以及省自建房专班线上巡检等发现的问题（台账由被检市负责提供），是否逐一抓好整改、“动态清零”；4.长效机制重点查看是否建立并完善城乡房屋安全管理制度体系。</w:t>
      </w:r>
    </w:p>
    <w:p>
      <w:pPr>
        <w:pStyle w:val="20"/>
        <w:spacing w:line="578" w:lineRule="exact"/>
        <w:ind w:firstLine="640" w:firstLineChars="200"/>
        <w:rPr>
          <w:rFonts w:ascii="仿宋_GB2312" w:hAnsi="仿宋_GB2312" w:eastAsia="仿宋_GB2312" w:cs="仿宋_GB2312"/>
          <w:color w:val="000000" w:themeColor="text1"/>
          <w:sz w:val="32"/>
          <w:szCs w:val="32"/>
          <w:lang w:val="zh-CN"/>
        </w:rPr>
      </w:pPr>
      <w:r>
        <w:rPr>
          <w:rFonts w:hint="eastAsia" w:ascii="楷体_GB2312" w:hAnsi="楷体_GB2312" w:eastAsia="楷体_GB2312" w:cs="楷体_GB2312"/>
          <w:color w:val="000000" w:themeColor="text1"/>
          <w:sz w:val="32"/>
          <w:szCs w:val="32"/>
        </w:rPr>
        <w:t>（四）市政设施运行安全方面。</w:t>
      </w:r>
      <w:r>
        <w:rPr>
          <w:rFonts w:hint="eastAsia" w:ascii="仿宋_GB2312" w:hAnsi="仿宋_GB2312" w:eastAsia="仿宋_GB2312" w:cs="仿宋_GB2312"/>
          <w:color w:val="000000" w:themeColor="text1"/>
          <w:sz w:val="32"/>
          <w:szCs w:val="32"/>
        </w:rPr>
        <w:t>1.保障群众温暖过冬情况。了解集中供热企业运营、能源供给、服务保障等情况；2.</w:t>
      </w:r>
      <w:r>
        <w:rPr>
          <w:rFonts w:hint="eastAsia" w:ascii="仿宋_GB2312" w:hAnsi="仿宋_GB2312" w:eastAsia="仿宋_GB2312" w:cs="仿宋_GB2312"/>
          <w:color w:val="000000" w:themeColor="text1"/>
          <w:sz w:val="32"/>
          <w:szCs w:val="32"/>
          <w:lang w:val="zh-CN"/>
        </w:rPr>
        <w:t>城市供排水、供气、供热管线、城市道路桥梁等设施的维护检修，安全隐患排查整治情况；</w:t>
      </w:r>
      <w:r>
        <w:rPr>
          <w:rFonts w:hint="eastAsia" w:ascii="仿宋_GB2312" w:hAnsi="仿宋_GB2312" w:eastAsia="仿宋_GB2312" w:cs="仿宋_GB2312"/>
          <w:color w:val="000000" w:themeColor="text1"/>
          <w:sz w:val="32"/>
          <w:szCs w:val="32"/>
        </w:rPr>
        <w:t>3.供热、供水、排水和污水处理、垃圾处理等专营单位应对低温雨雪冰冻等极端天气条件的应急准备情况；4.</w:t>
      </w:r>
      <w:r>
        <w:rPr>
          <w:rFonts w:hint="eastAsia" w:ascii="仿宋_GB2312" w:hAnsi="仿宋_GB2312" w:eastAsia="仿宋_GB2312" w:cs="仿宋_GB2312"/>
          <w:color w:val="000000" w:themeColor="text1"/>
          <w:sz w:val="32"/>
          <w:szCs w:val="32"/>
          <w:lang w:val="zh-CN"/>
        </w:rPr>
        <w:t>执行落实《山东省住房和城乡建设厅关于进一步加强城市市政公用有限空间作业安全管理工作的通知》</w:t>
      </w:r>
      <w:r>
        <w:rPr>
          <w:rFonts w:hint="eastAsia" w:ascii="仿宋_GB2312" w:hAnsi="仿宋_GB2312" w:eastAsia="仿宋_GB2312" w:cs="仿宋_GB2312"/>
          <w:color w:val="000000" w:themeColor="text1"/>
          <w:sz w:val="32"/>
          <w:szCs w:val="32"/>
        </w:rPr>
        <w:t>《排水管道维护安全技术规程》（CJJ6-2009）</w:t>
      </w:r>
      <w:r>
        <w:rPr>
          <w:rFonts w:hint="eastAsia" w:ascii="仿宋_GB2312" w:hAnsi="仿宋_GB2312" w:eastAsia="仿宋_GB2312" w:cs="仿宋_GB2312"/>
          <w:color w:val="000000" w:themeColor="text1"/>
          <w:sz w:val="32"/>
          <w:szCs w:val="32"/>
          <w:lang w:val="zh-CN"/>
        </w:rPr>
        <w:t>《山东省城市市政公用管道有限空间作业安全操作规程》（鲁城建函〔2016〕51号）等政策、标准、规程情况；</w:t>
      </w:r>
      <w:r>
        <w:rPr>
          <w:rFonts w:hint="eastAsia" w:ascii="仿宋_GB2312" w:hAnsi="仿宋_GB2312" w:eastAsia="仿宋_GB2312" w:cs="仿宋_GB2312"/>
          <w:color w:val="000000" w:themeColor="text1"/>
          <w:sz w:val="32"/>
          <w:szCs w:val="32"/>
        </w:rPr>
        <w:t>5.城市公园与相关广场（政府投资建设且位于城市绿地范围内）安全管理责任制建立实施情况；6.</w:t>
      </w:r>
      <w:r>
        <w:rPr>
          <w:rFonts w:hint="eastAsia" w:ascii="仿宋_GB2312" w:hAnsi="仿宋_GB2312" w:eastAsia="仿宋_GB2312" w:cs="仿宋_GB2312"/>
          <w:color w:val="000000" w:themeColor="text1"/>
          <w:sz w:val="32"/>
          <w:szCs w:val="32"/>
          <w:lang w:val="zh-CN"/>
        </w:rPr>
        <w:t>节假日期间游园安全风险预判及应急管理情况，</w:t>
      </w:r>
      <w:r>
        <w:rPr>
          <w:rFonts w:hint="eastAsia" w:ascii="仿宋_GB2312" w:hAnsi="仿宋_GB2312" w:eastAsia="仿宋_GB2312" w:cs="仿宋_GB2312"/>
          <w:color w:val="000000" w:themeColor="text1"/>
          <w:sz w:val="32"/>
          <w:szCs w:val="32"/>
        </w:rPr>
        <w:t>配合做好大型游乐设施安全管理情况</w:t>
      </w:r>
      <w:r>
        <w:rPr>
          <w:rFonts w:hint="eastAsia" w:ascii="仿宋_GB2312" w:hAnsi="仿宋_GB2312" w:eastAsia="仿宋_GB2312" w:cs="仿宋_GB2312"/>
          <w:color w:val="000000" w:themeColor="text1"/>
          <w:sz w:val="32"/>
          <w:szCs w:val="32"/>
          <w:lang w:val="zh-CN"/>
        </w:rPr>
        <w:t>。</w:t>
      </w:r>
    </w:p>
    <w:p>
      <w:pPr>
        <w:pStyle w:val="20"/>
        <w:spacing w:line="578" w:lineRule="exact"/>
        <w:ind w:firstLine="640" w:firstLineChars="200"/>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（五）物业服务安全方面。</w:t>
      </w:r>
      <w:r>
        <w:rPr>
          <w:rFonts w:hint="eastAsia" w:ascii="仿宋_GB2312" w:hAnsi="仿宋_GB2312" w:eastAsia="仿宋_GB2312" w:cs="仿宋_GB2312"/>
          <w:color w:val="000000" w:themeColor="text1"/>
          <w:sz w:val="32"/>
          <w:szCs w:val="32"/>
        </w:rPr>
        <w:t>1.共用部位和共用设施设备的维修、养护和管理情况；2.小区道路、广场、楼道等公共区域及门禁、监控、管道井等公共设施设备运行管理情况；3.安全生产制度、安全生产教育、应急预案及演练情况、日常巡查记录；4.物业住宅小区电动自行车停放、充电管理情况，消防车通道畅通情况。</w:t>
      </w:r>
    </w:p>
    <w:p>
      <w:pPr>
        <w:pStyle w:val="20"/>
        <w:spacing w:line="578" w:lineRule="exact"/>
        <w:ind w:firstLine="640" w:firstLineChars="200"/>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（六）应急预案和处置方面。</w:t>
      </w:r>
      <w:r>
        <w:rPr>
          <w:rFonts w:hint="eastAsia" w:ascii="仿宋_GB2312" w:hAnsi="仿宋_GB2312" w:eastAsia="仿宋_GB2312" w:cs="仿宋_GB2312"/>
          <w:color w:val="000000" w:themeColor="text1"/>
          <w:sz w:val="32"/>
          <w:szCs w:val="32"/>
        </w:rPr>
        <w:t>1.设区市住建部门</w:t>
      </w:r>
      <w:r>
        <w:rPr>
          <w:rFonts w:hint="eastAsia" w:ascii="仿宋_GB2312" w:hAnsi="仿宋_GB2312" w:eastAsia="仿宋_GB2312" w:cs="仿宋_GB2312"/>
          <w:color w:val="000000" w:themeColor="text1"/>
          <w:sz w:val="32"/>
          <w:szCs w:val="32"/>
          <w:lang w:val="zh-CN"/>
        </w:rPr>
        <w:t>突发事件应急预案制定、应急演练及评估分析情况，抢修车辆、设备等各类应急救援物资储备情况</w:t>
      </w:r>
      <w:r>
        <w:rPr>
          <w:rFonts w:hint="eastAsia" w:ascii="仿宋_GB2312" w:hAnsi="仿宋_GB2312" w:eastAsia="仿宋_GB2312" w:cs="仿宋_GB2312"/>
          <w:color w:val="000000" w:themeColor="text1"/>
          <w:sz w:val="32"/>
          <w:szCs w:val="32"/>
        </w:rPr>
        <w:t>；2.房屋市政工程施工项目的应急预案编制、应急物资储备和应急演练情况；3.应对低温雨雪冰冻等极端天气条件的应急准备情况；4.事故信息报告制度落实情况。</w:t>
      </w:r>
    </w:p>
    <w:p>
      <w:pPr>
        <w:spacing w:line="578" w:lineRule="exact"/>
        <w:ind w:firstLine="640" w:firstLineChars="200"/>
        <w:rPr>
          <w:rFonts w:ascii="黑体" w:hAnsi="黑体" w:eastAsia="黑体" w:cs="黑体"/>
          <w:color w:val="000000" w:themeColor="text1"/>
          <w:sz w:val="32"/>
          <w:szCs w:val="32"/>
        </w:rPr>
      </w:pPr>
      <w:bookmarkStart w:id="3" w:name="_Toc23058"/>
      <w:r>
        <w:rPr>
          <w:rFonts w:hint="eastAsia" w:ascii="黑体" w:hAnsi="黑体" w:eastAsia="黑体" w:cs="黑体"/>
          <w:color w:val="000000" w:themeColor="text1"/>
          <w:sz w:val="32"/>
          <w:szCs w:val="32"/>
        </w:rPr>
        <w:t>三、帮扶方式及时间安排</w:t>
      </w:r>
      <w:bookmarkEnd w:id="3"/>
    </w:p>
    <w:p>
      <w:pPr>
        <w:pStyle w:val="12"/>
        <w:spacing w:line="578" w:lineRule="exact"/>
        <w:rPr>
          <w:rFonts w:hAnsi="仿宋_GB2312" w:cs="仿宋_GB2312"/>
          <w:color w:val="000000" w:themeColor="text1"/>
          <w:sz w:val="32"/>
          <w:szCs w:val="32"/>
        </w:rPr>
      </w:pPr>
      <w:r>
        <w:rPr>
          <w:rFonts w:hint="eastAsia" w:hAnsi="仿宋_GB2312" w:cs="仿宋_GB2312"/>
          <w:color w:val="000000" w:themeColor="text1"/>
          <w:sz w:val="32"/>
          <w:szCs w:val="32"/>
        </w:rPr>
        <w:t>对照重点帮扶内容，综合采取听取汇报、查阅资料、查看现场等多种方式开展帮扶。</w:t>
      </w:r>
    </w:p>
    <w:p>
      <w:pPr>
        <w:pStyle w:val="12"/>
        <w:spacing w:line="578" w:lineRule="exact"/>
        <w:rPr>
          <w:rFonts w:hAnsi="仿宋_GB2312" w:cs="仿宋_GB2312"/>
          <w:color w:val="000000" w:themeColor="text1"/>
          <w:sz w:val="32"/>
          <w:szCs w:val="32"/>
        </w:rPr>
      </w:pPr>
      <w:r>
        <w:rPr>
          <w:rFonts w:hint="eastAsia" w:hAnsi="仿宋_GB2312" w:cs="仿宋_GB2312"/>
          <w:color w:val="000000" w:themeColor="text1"/>
          <w:sz w:val="32"/>
          <w:szCs w:val="32"/>
        </w:rPr>
        <w:t>（一）省住房城乡建设厅成立16个督导帮扶工作组，由厅领导、二巡、总师、专员带队，有关处室、单位负责同志参加，抽调有关行业领域专家，每组分包1个设区市（帮扶分组情况见附件）。督导帮扶从即日起至3月底前，分两个阶段开展，第一阶段自即日起至2月9日前，第二阶段从2月10日至3月31日，每一阶段至少开展1轮包市督导帮扶，每次不少于2个县（市、区），每个市帮扶时间不少于2天。</w:t>
      </w:r>
    </w:p>
    <w:p>
      <w:pPr>
        <w:pStyle w:val="12"/>
        <w:spacing w:line="578" w:lineRule="exact"/>
        <w:ind w:firstLine="640" w:firstLineChars="200"/>
        <w:rPr>
          <w:rFonts w:hAnsi="仿宋_GB2312" w:cs="仿宋_GB2312"/>
          <w:color w:val="000000" w:themeColor="text1"/>
          <w:sz w:val="32"/>
          <w:szCs w:val="32"/>
        </w:rPr>
      </w:pPr>
      <w:r>
        <w:rPr>
          <w:rFonts w:hint="eastAsia" w:hAnsi="仿宋_GB2312" w:cs="仿宋_GB2312"/>
          <w:color w:val="000000" w:themeColor="text1"/>
          <w:sz w:val="32"/>
          <w:szCs w:val="32"/>
        </w:rPr>
        <w:t>（二）每个设区市选派专家6名（优先从省级安全专家库中挑选），其中，燃气安全专家1名、施工安全专家1名、房屋结构安全专家1名、市政运行安全专家2名、物业服务安全专家1名参与检查。</w:t>
      </w:r>
    </w:p>
    <w:p>
      <w:pPr>
        <w:pStyle w:val="12"/>
        <w:spacing w:line="578" w:lineRule="exact"/>
        <w:ind w:firstLine="640" w:firstLineChars="200"/>
        <w:rPr>
          <w:rFonts w:hAnsi="仿宋_GB2312" w:cs="仿宋_GB2312"/>
          <w:color w:val="000000" w:themeColor="text1"/>
          <w:sz w:val="32"/>
          <w:szCs w:val="32"/>
        </w:rPr>
      </w:pPr>
      <w:r>
        <w:rPr>
          <w:rFonts w:hint="eastAsia" w:hAnsi="仿宋_GB2312" w:cs="仿宋_GB2312"/>
          <w:color w:val="000000" w:themeColor="text1"/>
          <w:sz w:val="32"/>
          <w:szCs w:val="32"/>
        </w:rPr>
        <w:t>（三）各组根据工作安排，自行对接分组城市，明确时间及行程安排。对每个设区市帮扶结束后，通过召开帮扶反馈会议等形式，书面反馈问题清单，并对下步工作提出要求。要认真梳理总结帮扶工作情况，每轮检查结束后3日内，各组向厅安办提交经带队领导审定的督导帮扶报告和问题清单，及时总结各地经验做法。</w:t>
      </w:r>
    </w:p>
    <w:p>
      <w:pPr>
        <w:spacing w:line="578" w:lineRule="exact"/>
        <w:ind w:firstLine="640" w:firstLineChars="200"/>
        <w:rPr>
          <w:rFonts w:ascii="黑体" w:hAnsi="黑体" w:eastAsia="黑体" w:cs="黑体"/>
          <w:color w:val="000000" w:themeColor="text1"/>
          <w:sz w:val="32"/>
          <w:szCs w:val="32"/>
        </w:rPr>
      </w:pPr>
      <w:bookmarkStart w:id="4" w:name="_Toc24156"/>
      <w:r>
        <w:rPr>
          <w:rFonts w:hint="eastAsia" w:ascii="黑体" w:hAnsi="黑体" w:eastAsia="黑体" w:cs="黑体"/>
          <w:color w:val="000000" w:themeColor="text1"/>
          <w:sz w:val="32"/>
          <w:szCs w:val="32"/>
        </w:rPr>
        <w:t>四、工作要求</w:t>
      </w:r>
      <w:bookmarkEnd w:id="4"/>
    </w:p>
    <w:p>
      <w:pPr>
        <w:snapToGrid w:val="0"/>
        <w:spacing w:line="578" w:lineRule="exact"/>
        <w:ind w:firstLine="705"/>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（一）提高思想认识。</w:t>
      </w:r>
      <w:r>
        <w:rPr>
          <w:rFonts w:hint="eastAsia" w:ascii="仿宋_GB2312" w:hAnsi="仿宋_GB2312" w:eastAsia="仿宋_GB2312" w:cs="仿宋_GB2312"/>
          <w:color w:val="000000" w:themeColor="text1"/>
          <w:sz w:val="32"/>
          <w:szCs w:val="32"/>
        </w:rPr>
        <w:t>开展包市督导帮扶是全面深入了解基层实际，防范化解安全风险，精准高效落实党中央、国务院决策部署和省委、省政府工作安排的有效手段，是加强和改进作风的具体体现。各组要高度重视，组织精干力量，高效开展督导帮扶工作。</w:t>
      </w:r>
    </w:p>
    <w:p>
      <w:pPr>
        <w:snapToGrid w:val="0"/>
        <w:spacing w:line="578" w:lineRule="exact"/>
        <w:ind w:firstLine="705"/>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（二）加强层级指导。</w:t>
      </w:r>
      <w:r>
        <w:rPr>
          <w:rFonts w:hint="eastAsia" w:ascii="仿宋_GB2312" w:hAnsi="仿宋_GB2312" w:eastAsia="仿宋_GB2312" w:cs="仿宋_GB2312"/>
          <w:color w:val="000000" w:themeColor="text1"/>
          <w:sz w:val="32"/>
          <w:szCs w:val="32"/>
        </w:rPr>
        <w:t>各市住房城乡建设部门要坚决扛起扛牢防范化解安全风险的重大政治责任，突出重点企业项目、关键作业环节，紧盯春节假期等重要节点、敏感时期，压实层级责任，明确责任分工，细化工作措施，按照本次检查内容、检查标准，督促县（市、区）主管部门和有关单位全面开展自查，确保全覆盖。</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（三）强化整改落实。</w:t>
      </w:r>
      <w:r>
        <w:rPr>
          <w:rFonts w:hint="eastAsia" w:ascii="仿宋_GB2312" w:hAnsi="仿宋_GB2312" w:eastAsia="仿宋_GB2312" w:cs="仿宋_GB2312"/>
          <w:color w:val="000000" w:themeColor="text1"/>
          <w:sz w:val="32"/>
          <w:szCs w:val="32"/>
        </w:rPr>
        <w:t>要坚持问题导向、结果导向，对检查发现的问题，立即书面反馈当地相关部门、单位，并对下步整改落实提出要求，每市每行业领域至少要下发1份问题整改通知书，查不出问题要扩大抽查范围，确保查深、查细、查实。要坚持边查边改、立查立改，对督导检查发现的安全隐患和违法行为，要闭环管理，能立即整改的要立即进行整改；不能立即整改的，要挂牌督办、限期整改、跟踪落实。</w:t>
      </w:r>
    </w:p>
    <w:p>
      <w:pPr>
        <w:snapToGrid w:val="0"/>
        <w:spacing w:line="578" w:lineRule="exact"/>
        <w:ind w:firstLine="705"/>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（四）严格纪律要求。</w:t>
      </w:r>
      <w:r>
        <w:rPr>
          <w:rFonts w:hint="eastAsia" w:ascii="仿宋_GB2312" w:hAnsi="仿宋_GB2312" w:eastAsia="仿宋_GB2312" w:cs="仿宋_GB2312"/>
          <w:color w:val="000000" w:themeColor="text1"/>
          <w:sz w:val="32"/>
          <w:szCs w:val="32"/>
        </w:rPr>
        <w:t>督导帮扶工作要严格落实中央八项规定及省委实施细则精神，改进工作作风，不搞层层汇报和陪同，严防形式主义、官僚主义问题。</w:t>
      </w:r>
    </w:p>
    <w:p>
      <w:pPr>
        <w:snapToGrid w:val="0"/>
        <w:spacing w:line="578" w:lineRule="exact"/>
        <w:ind w:firstLine="640" w:firstLineChars="200"/>
        <w:rPr>
          <w:rFonts w:ascii="仿宋_GB2312" w:hAnsi="仿宋_GB2312" w:eastAsia="仿宋_GB2312" w:cs="仿宋_GB2312"/>
          <w:color w:val="000000" w:themeColor="text1"/>
          <w:sz w:val="32"/>
          <w:szCs w:val="32"/>
        </w:rPr>
      </w:pPr>
    </w:p>
    <w:p>
      <w:pPr>
        <w:snapToGrid w:val="0"/>
        <w:spacing w:line="578" w:lineRule="exact"/>
        <w:ind w:firstLine="640" w:firstLineChars="200"/>
        <w:rPr>
          <w:rFonts w:ascii="楷体_GB2312" w:hAnsi="楷体_GB2312" w:eastAsia="楷体_GB2312" w:cs="楷体_GB2312"/>
          <w:color w:val="000000" w:themeColor="text1"/>
          <w:sz w:val="32"/>
          <w:szCs w:val="32"/>
        </w:rPr>
      </w:pPr>
    </w:p>
    <w:p>
      <w:pPr>
        <w:snapToGrid w:val="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附件：1.第一轮督导帮扶分组安排</w:t>
      </w:r>
    </w:p>
    <w:p>
      <w:pPr>
        <w:snapToGrid w:val="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2.安全生产督导帮扶发现问题通知书</w:t>
      </w:r>
    </w:p>
    <w:p>
      <w:pPr>
        <w:spacing w:line="578" w:lineRule="exact"/>
        <w:jc w:val="left"/>
        <w:rPr>
          <w:rFonts w:ascii="黑体" w:hAnsi="黑体" w:eastAsia="黑体" w:cs="黑体"/>
          <w:color w:val="000000" w:themeColor="text1"/>
          <w:sz w:val="32"/>
          <w:szCs w:val="32"/>
          <w:lang w:val="zh-CN"/>
        </w:rPr>
        <w:sectPr>
          <w:footerReference r:id="rId5" w:type="default"/>
          <w:pgSz w:w="11906" w:h="16838"/>
          <w:pgMar w:top="2098" w:right="1474" w:bottom="1984" w:left="1474" w:header="720" w:footer="720" w:gutter="0"/>
          <w:pgNumType w:start="1"/>
          <w:cols w:space="0" w:num="1"/>
          <w:docGrid w:type="lines" w:linePitch="317" w:charSpace="0"/>
        </w:sectPr>
      </w:pPr>
    </w:p>
    <w:p>
      <w:pPr>
        <w:spacing w:afterLines="50" w:line="578" w:lineRule="exact"/>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附件1</w:t>
      </w:r>
    </w:p>
    <w:p>
      <w:pPr>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sz w:val="44"/>
          <w:szCs w:val="44"/>
        </w:rPr>
        <w:t>第一轮督导帮扶分组安排</w:t>
      </w:r>
    </w:p>
    <w:p>
      <w:pPr>
        <w:pStyle w:val="2"/>
        <w:spacing w:line="578" w:lineRule="exact"/>
        <w:rPr>
          <w:rFonts w:cs="仿宋_GB2312"/>
          <w:color w:val="000000" w:themeColor="text1"/>
          <w:sz w:val="32"/>
          <w:szCs w:val="32"/>
        </w:rPr>
      </w:pPr>
    </w:p>
    <w:tbl>
      <w:tblPr>
        <w:tblStyle w:val="15"/>
        <w:tblW w:w="11100" w:type="dxa"/>
        <w:jc w:val="center"/>
        <w:tblLayout w:type="fixed"/>
        <w:tblCellMar>
          <w:top w:w="0" w:type="dxa"/>
          <w:left w:w="108" w:type="dxa"/>
          <w:bottom w:w="0" w:type="dxa"/>
          <w:right w:w="108" w:type="dxa"/>
        </w:tblCellMar>
      </w:tblPr>
      <w:tblGrid>
        <w:gridCol w:w="1985"/>
        <w:gridCol w:w="1807"/>
        <w:gridCol w:w="1659"/>
        <w:gridCol w:w="2184"/>
        <w:gridCol w:w="1640"/>
        <w:gridCol w:w="1825"/>
      </w:tblGrid>
      <w:tr>
        <w:tblPrEx>
          <w:tblCellMar>
            <w:top w:w="0" w:type="dxa"/>
            <w:left w:w="108" w:type="dxa"/>
            <w:bottom w:w="0" w:type="dxa"/>
            <w:right w:w="108" w:type="dxa"/>
          </w:tblCellMar>
        </w:tblPrEx>
        <w:trPr>
          <w:trHeight w:val="290" w:hRule="atLeast"/>
          <w:tblHeader/>
          <w:jc w:val="center"/>
        </w:trPr>
        <w:tc>
          <w:tcPr>
            <w:tcW w:w="1985" w:type="dxa"/>
            <w:tcBorders>
              <w:top w:val="single" w:color="auto" w:sz="4" w:space="0"/>
              <w:left w:val="single" w:color="auto" w:sz="4" w:space="0"/>
              <w:bottom w:val="single" w:color="000000" w:sz="4" w:space="0"/>
              <w:right w:val="single" w:color="auto" w:sz="4" w:space="0"/>
            </w:tcBorders>
            <w:vAlign w:val="center"/>
          </w:tcPr>
          <w:p>
            <w:pPr>
              <w:widowControl/>
              <w:spacing w:line="480" w:lineRule="exact"/>
              <w:jc w:val="center"/>
              <w:rPr>
                <w:rFonts w:ascii="黑体" w:hAnsi="黑体" w:eastAsia="黑体" w:cs="宋体"/>
                <w:color w:val="000000" w:themeColor="text1"/>
                <w:kern w:val="0"/>
                <w:sz w:val="32"/>
                <w:szCs w:val="32"/>
              </w:rPr>
            </w:pPr>
            <w:r>
              <w:rPr>
                <w:rFonts w:hint="eastAsia" w:ascii="黑体" w:hAnsi="黑体" w:eastAsia="黑体" w:cs="宋体"/>
                <w:color w:val="000000" w:themeColor="text1"/>
                <w:kern w:val="0"/>
                <w:sz w:val="32"/>
                <w:szCs w:val="32"/>
              </w:rPr>
              <w:t>序号</w:t>
            </w:r>
          </w:p>
        </w:tc>
        <w:tc>
          <w:tcPr>
            <w:tcW w:w="1807" w:type="dxa"/>
            <w:tcBorders>
              <w:top w:val="single" w:color="auto" w:sz="4" w:space="0"/>
              <w:left w:val="nil"/>
              <w:bottom w:val="single" w:color="000000" w:sz="4" w:space="0"/>
              <w:right w:val="single" w:color="auto" w:sz="4" w:space="0"/>
            </w:tcBorders>
            <w:vAlign w:val="center"/>
          </w:tcPr>
          <w:p>
            <w:pPr>
              <w:widowControl/>
              <w:spacing w:line="480" w:lineRule="exact"/>
              <w:jc w:val="center"/>
              <w:rPr>
                <w:rFonts w:ascii="黑体" w:hAnsi="黑体" w:eastAsia="黑体" w:cs="宋体"/>
                <w:color w:val="000000" w:themeColor="text1"/>
                <w:kern w:val="0"/>
                <w:sz w:val="32"/>
                <w:szCs w:val="32"/>
              </w:rPr>
            </w:pPr>
            <w:r>
              <w:rPr>
                <w:rFonts w:hint="eastAsia" w:ascii="黑体" w:hAnsi="黑体" w:eastAsia="黑体" w:cs="宋体"/>
                <w:color w:val="000000" w:themeColor="text1"/>
                <w:kern w:val="0"/>
                <w:sz w:val="32"/>
                <w:szCs w:val="32"/>
              </w:rPr>
              <w:t>带队领导</w:t>
            </w:r>
          </w:p>
        </w:tc>
        <w:tc>
          <w:tcPr>
            <w:tcW w:w="1659" w:type="dxa"/>
            <w:tcBorders>
              <w:top w:val="single" w:color="auto" w:sz="4" w:space="0"/>
              <w:left w:val="nil"/>
              <w:bottom w:val="single" w:color="000000" w:sz="4" w:space="0"/>
              <w:right w:val="single" w:color="auto" w:sz="4" w:space="0"/>
            </w:tcBorders>
            <w:vAlign w:val="center"/>
          </w:tcPr>
          <w:p>
            <w:pPr>
              <w:widowControl/>
              <w:spacing w:line="480" w:lineRule="exact"/>
              <w:jc w:val="center"/>
              <w:rPr>
                <w:rFonts w:ascii="黑体" w:hAnsi="黑体" w:eastAsia="黑体" w:cs="宋体"/>
                <w:color w:val="000000" w:themeColor="text1"/>
                <w:kern w:val="0"/>
                <w:sz w:val="32"/>
                <w:szCs w:val="32"/>
              </w:rPr>
            </w:pPr>
            <w:r>
              <w:rPr>
                <w:rFonts w:hint="eastAsia" w:ascii="黑体" w:hAnsi="黑体" w:eastAsia="黑体" w:cs="宋体"/>
                <w:color w:val="000000" w:themeColor="text1"/>
                <w:kern w:val="0"/>
                <w:sz w:val="32"/>
                <w:szCs w:val="32"/>
              </w:rPr>
              <w:t>被检查市</w:t>
            </w:r>
          </w:p>
        </w:tc>
        <w:tc>
          <w:tcPr>
            <w:tcW w:w="2184" w:type="dxa"/>
            <w:tcBorders>
              <w:top w:val="single" w:color="auto" w:sz="4" w:space="0"/>
              <w:left w:val="nil"/>
              <w:bottom w:val="single" w:color="000000" w:sz="4" w:space="0"/>
              <w:right w:val="single" w:color="auto" w:sz="4" w:space="0"/>
            </w:tcBorders>
            <w:vAlign w:val="center"/>
          </w:tcPr>
          <w:p>
            <w:pPr>
              <w:widowControl/>
              <w:spacing w:line="480" w:lineRule="exact"/>
              <w:jc w:val="center"/>
              <w:rPr>
                <w:rFonts w:ascii="黑体" w:hAnsi="黑体" w:eastAsia="黑体" w:cs="宋体"/>
                <w:color w:val="000000" w:themeColor="text1"/>
                <w:kern w:val="0"/>
                <w:sz w:val="32"/>
                <w:szCs w:val="32"/>
              </w:rPr>
            </w:pPr>
            <w:r>
              <w:rPr>
                <w:rFonts w:hint="eastAsia" w:ascii="黑体" w:hAnsi="黑体" w:eastAsia="黑体" w:cs="宋体"/>
                <w:color w:val="000000" w:themeColor="text1"/>
                <w:kern w:val="0"/>
                <w:sz w:val="32"/>
                <w:szCs w:val="32"/>
              </w:rPr>
              <w:t>牵头处室单位</w:t>
            </w:r>
          </w:p>
        </w:tc>
        <w:tc>
          <w:tcPr>
            <w:tcW w:w="1640" w:type="dxa"/>
            <w:tcBorders>
              <w:top w:val="single" w:color="auto" w:sz="4" w:space="0"/>
              <w:left w:val="nil"/>
              <w:bottom w:val="single" w:color="000000" w:sz="4" w:space="0"/>
              <w:right w:val="single" w:color="auto" w:sz="4" w:space="0"/>
            </w:tcBorders>
            <w:vAlign w:val="center"/>
          </w:tcPr>
          <w:p>
            <w:pPr>
              <w:widowControl/>
              <w:spacing w:line="480" w:lineRule="exact"/>
              <w:jc w:val="center"/>
              <w:rPr>
                <w:rFonts w:ascii="黑体" w:hAnsi="黑体" w:eastAsia="黑体" w:cs="宋体"/>
                <w:color w:val="000000" w:themeColor="text1"/>
                <w:kern w:val="0"/>
                <w:sz w:val="32"/>
                <w:szCs w:val="32"/>
              </w:rPr>
            </w:pPr>
            <w:r>
              <w:rPr>
                <w:rFonts w:hint="eastAsia" w:ascii="黑体" w:hAnsi="黑体" w:eastAsia="黑体" w:cs="宋体"/>
                <w:color w:val="000000" w:themeColor="text1"/>
                <w:kern w:val="0"/>
                <w:sz w:val="32"/>
                <w:szCs w:val="32"/>
              </w:rPr>
              <w:t>联络人</w:t>
            </w:r>
          </w:p>
        </w:tc>
        <w:tc>
          <w:tcPr>
            <w:tcW w:w="1825" w:type="dxa"/>
            <w:tcBorders>
              <w:top w:val="single" w:color="auto" w:sz="4" w:space="0"/>
              <w:left w:val="nil"/>
              <w:bottom w:val="single" w:color="000000" w:sz="4" w:space="0"/>
              <w:right w:val="single" w:color="auto" w:sz="4" w:space="0"/>
            </w:tcBorders>
            <w:vAlign w:val="center"/>
          </w:tcPr>
          <w:p>
            <w:pPr>
              <w:widowControl/>
              <w:spacing w:line="480" w:lineRule="exact"/>
              <w:jc w:val="center"/>
              <w:rPr>
                <w:rFonts w:ascii="黑体" w:hAnsi="黑体" w:eastAsia="黑体" w:cs="宋体"/>
                <w:color w:val="000000" w:themeColor="text1"/>
                <w:kern w:val="0"/>
                <w:sz w:val="32"/>
                <w:szCs w:val="32"/>
              </w:rPr>
            </w:pPr>
            <w:r>
              <w:rPr>
                <w:rFonts w:hint="eastAsia" w:ascii="黑体" w:hAnsi="黑体" w:eastAsia="黑体" w:cs="宋体"/>
                <w:color w:val="000000" w:themeColor="text1"/>
                <w:kern w:val="0"/>
                <w:sz w:val="32"/>
                <w:szCs w:val="32"/>
              </w:rPr>
              <w:t>专家抽取市</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一组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王玉志</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济南</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质量安全处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李  军</w:t>
            </w:r>
          </w:p>
        </w:tc>
        <w:tc>
          <w:tcPr>
            <w:tcW w:w="182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枣庄</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二组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任海涛</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青岛</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房产处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娄保来</w:t>
            </w:r>
          </w:p>
        </w:tc>
        <w:tc>
          <w:tcPr>
            <w:tcW w:w="182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威海</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三组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侯晓滨</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淄博</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城建处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李晓军</w:t>
            </w:r>
          </w:p>
        </w:tc>
        <w:tc>
          <w:tcPr>
            <w:tcW w:w="182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德州</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四组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周善东</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德州</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住房保障处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王春杰</w:t>
            </w:r>
          </w:p>
        </w:tc>
        <w:tc>
          <w:tcPr>
            <w:tcW w:w="182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聊城</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五组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王润晓</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潍坊</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建管处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李永刚</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东营</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六组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麻鹏飞</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泰安</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消防处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徐  建</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菏泽</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七组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都昌林</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威海</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设计处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刘  涛</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烟台</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八组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杨建武</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东营</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城管局</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王  强</w:t>
            </w:r>
          </w:p>
        </w:tc>
        <w:tc>
          <w:tcPr>
            <w:tcW w:w="182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滨州</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九组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殷  涛</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枣庄</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节能科技处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史永鹏</w:t>
            </w:r>
          </w:p>
        </w:tc>
        <w:tc>
          <w:tcPr>
            <w:tcW w:w="182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泰安</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十组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张道远</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菏泽</w:t>
            </w:r>
          </w:p>
        </w:tc>
        <w:tc>
          <w:tcPr>
            <w:tcW w:w="2184"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许可处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辛  平</w:t>
            </w:r>
          </w:p>
        </w:tc>
        <w:tc>
          <w:tcPr>
            <w:tcW w:w="182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济宁</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十一组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张金城</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临沂</w:t>
            </w:r>
          </w:p>
        </w:tc>
        <w:tc>
          <w:tcPr>
            <w:tcW w:w="2184"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物业处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朱亚东</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日照</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十二组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李  煜</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聊城</w:t>
            </w:r>
          </w:p>
        </w:tc>
        <w:tc>
          <w:tcPr>
            <w:tcW w:w="2184"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村镇处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李  晓</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济南</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十三组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冯兰成</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烟台</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国际处</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王  冠</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潍坊</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十四组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李  伟</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日照</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执法局</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吴  斌</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青岛</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十五组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闫兴利</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济宁</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质量安全中心</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王华杰</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临沂</w:t>
            </w:r>
          </w:p>
        </w:tc>
      </w:tr>
      <w:tr>
        <w:tblPrEx>
          <w:tblCellMar>
            <w:top w:w="0" w:type="dxa"/>
            <w:left w:w="108" w:type="dxa"/>
            <w:bottom w:w="0" w:type="dxa"/>
            <w:right w:w="108" w:type="dxa"/>
          </w:tblCellMar>
        </w:tblPrEx>
        <w:trPr>
          <w:trHeight w:val="567" w:hRule="exact"/>
          <w:jc w:val="center"/>
        </w:trPr>
        <w:tc>
          <w:tcPr>
            <w:tcW w:w="1985"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十六组</w:t>
            </w:r>
          </w:p>
        </w:tc>
        <w:tc>
          <w:tcPr>
            <w:tcW w:w="1807"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刘春藏</w:t>
            </w:r>
          </w:p>
        </w:tc>
        <w:tc>
          <w:tcPr>
            <w:tcW w:w="1659"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滨州</w:t>
            </w:r>
          </w:p>
        </w:tc>
        <w:tc>
          <w:tcPr>
            <w:tcW w:w="2184" w:type="dxa"/>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消防中心</w:t>
            </w:r>
          </w:p>
        </w:tc>
        <w:tc>
          <w:tcPr>
            <w:tcW w:w="1640" w:type="dxa"/>
            <w:tcBorders>
              <w:top w:val="single" w:color="000000" w:sz="4" w:space="0"/>
              <w:left w:val="single" w:color="000000" w:sz="4" w:space="0"/>
              <w:bottom w:val="single" w:color="000000" w:sz="4" w:space="0"/>
              <w:right w:val="single" w:color="000000" w:sz="4" w:space="0"/>
            </w:tcBorders>
            <w:vAlign w:val="center"/>
          </w:tcPr>
          <w:p>
            <w:pPr>
              <w:widowControl/>
              <w:spacing w:line="578" w:lineRule="exact"/>
              <w:jc w:val="center"/>
              <w:rPr>
                <w:rFonts w:ascii="楷体_GB2312" w:hAnsi="楷体_GB2312" w:eastAsia="楷体_GB2312" w:cs="楷体_GB2312"/>
                <w:color w:val="000000" w:themeColor="text1"/>
                <w:kern w:val="0"/>
                <w:sz w:val="32"/>
                <w:szCs w:val="32"/>
              </w:rPr>
            </w:pPr>
            <w:r>
              <w:rPr>
                <w:rFonts w:hint="eastAsia" w:ascii="楷体_GB2312" w:hAnsi="楷体_GB2312" w:eastAsia="楷体_GB2312" w:cs="楷体_GB2312"/>
                <w:color w:val="000000" w:themeColor="text1"/>
                <w:kern w:val="0"/>
                <w:sz w:val="32"/>
                <w:szCs w:val="32"/>
              </w:rPr>
              <w:t>李学雷</w:t>
            </w:r>
          </w:p>
        </w:tc>
        <w:tc>
          <w:tcPr>
            <w:tcW w:w="1825" w:type="dxa"/>
            <w:tcBorders>
              <w:top w:val="single" w:color="000000" w:sz="4" w:space="0"/>
              <w:left w:val="single" w:color="000000" w:sz="4" w:space="0"/>
              <w:bottom w:val="single" w:color="000000" w:sz="4" w:space="0"/>
              <w:right w:val="single" w:color="000000" w:sz="4" w:space="0"/>
            </w:tcBorders>
            <w:noWrap/>
            <w:vAlign w:val="center"/>
          </w:tcPr>
          <w:p>
            <w:pPr>
              <w:widowControl/>
              <w:spacing w:line="480" w:lineRule="exact"/>
              <w:jc w:val="center"/>
              <w:rPr>
                <w:rFonts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kern w:val="0"/>
                <w:sz w:val="32"/>
                <w:szCs w:val="32"/>
              </w:rPr>
              <w:t>淄博</w:t>
            </w:r>
          </w:p>
        </w:tc>
      </w:tr>
    </w:tbl>
    <w:p>
      <w:pPr>
        <w:pStyle w:val="2"/>
        <w:spacing w:line="578" w:lineRule="exact"/>
        <w:rPr>
          <w:rFonts w:cs="仿宋_GB2312"/>
          <w:color w:val="000000" w:themeColor="text1"/>
          <w:sz w:val="32"/>
          <w:szCs w:val="32"/>
        </w:rPr>
        <w:sectPr>
          <w:footerReference r:id="rId6" w:type="default"/>
          <w:pgSz w:w="16838" w:h="11906" w:orient="landscape"/>
          <w:pgMar w:top="1542" w:right="1440" w:bottom="1542" w:left="1440" w:header="851" w:footer="851" w:gutter="0"/>
          <w:cols w:space="0" w:num="1"/>
          <w:docGrid w:type="linesAndChars" w:linePitch="312" w:charSpace="0"/>
        </w:sectPr>
      </w:pPr>
    </w:p>
    <w:p>
      <w:pPr>
        <w:spacing w:line="578" w:lineRule="exact"/>
        <w:jc w:val="left"/>
        <w:rPr>
          <w:rFonts w:ascii="黑体" w:hAnsi="黑体" w:eastAsia="黑体" w:cs="黑体"/>
          <w:color w:val="000000" w:themeColor="text1"/>
          <w:sz w:val="32"/>
          <w:szCs w:val="32"/>
        </w:rPr>
      </w:pPr>
      <w:r>
        <w:rPr>
          <w:rFonts w:hint="eastAsia" w:ascii="黑体" w:hAnsi="黑体" w:eastAsia="黑体" w:cs="黑体"/>
          <w:color w:val="000000" w:themeColor="text1"/>
          <w:sz w:val="32"/>
          <w:szCs w:val="32"/>
          <w:lang w:val="zh-CN"/>
        </w:rPr>
        <w:t>附件</w:t>
      </w:r>
      <w:r>
        <w:rPr>
          <w:rFonts w:hint="eastAsia" w:ascii="黑体" w:hAnsi="黑体" w:eastAsia="黑体" w:cs="黑体"/>
          <w:color w:val="000000" w:themeColor="text1"/>
          <w:sz w:val="32"/>
          <w:szCs w:val="32"/>
        </w:rPr>
        <w:t>2</w:t>
      </w:r>
    </w:p>
    <w:p>
      <w:pPr>
        <w:spacing w:line="578" w:lineRule="exact"/>
        <w:jc w:val="center"/>
        <w:rPr>
          <w:rFonts w:ascii="方正小标宋简体" w:hAnsi="方正小标宋简体" w:eastAsia="方正小标宋简体" w:cs="方正小标宋简体"/>
          <w:color w:val="000000" w:themeColor="text1"/>
          <w:sz w:val="44"/>
          <w:szCs w:val="44"/>
          <w:lang w:val="zh-CN"/>
        </w:rPr>
      </w:pPr>
    </w:p>
    <w:p>
      <w:pPr>
        <w:spacing w:line="578" w:lineRule="exact"/>
        <w:jc w:val="center"/>
        <w:rPr>
          <w:rFonts w:ascii="Times New Roman" w:hAnsi="Times New Roman" w:eastAsia="Times New Roman"/>
          <w:b/>
          <w:color w:val="000000" w:themeColor="text1"/>
          <w:sz w:val="44"/>
        </w:rPr>
      </w:pPr>
      <w:r>
        <w:rPr>
          <w:rFonts w:hint="eastAsia" w:ascii="方正小标宋简体" w:hAnsi="方正小标宋简体" w:eastAsia="方正小标宋简体" w:cs="方正小标宋简体"/>
          <w:color w:val="000000" w:themeColor="text1"/>
          <w:sz w:val="44"/>
          <w:szCs w:val="44"/>
        </w:rPr>
        <w:t>督导帮扶</w:t>
      </w:r>
      <w:r>
        <w:rPr>
          <w:rFonts w:hint="eastAsia" w:ascii="方正小标宋简体" w:hAnsi="方正小标宋简体" w:eastAsia="方正小标宋简体" w:cs="方正小标宋简体"/>
          <w:color w:val="000000" w:themeColor="text1"/>
          <w:sz w:val="44"/>
          <w:szCs w:val="44"/>
          <w:lang w:val="zh-CN"/>
        </w:rPr>
        <w:t>问题</w:t>
      </w:r>
      <w:r>
        <w:rPr>
          <w:rFonts w:hint="eastAsia" w:ascii="方正小标宋简体" w:hAnsi="方正小标宋简体" w:eastAsia="方正小标宋简体" w:cs="方正小标宋简体"/>
          <w:color w:val="000000" w:themeColor="text1"/>
          <w:sz w:val="44"/>
          <w:szCs w:val="44"/>
        </w:rPr>
        <w:t>整改</w:t>
      </w:r>
      <w:r>
        <w:rPr>
          <w:rFonts w:hint="eastAsia" w:ascii="方正小标宋简体" w:hAnsi="方正小标宋简体" w:eastAsia="方正小标宋简体" w:cs="方正小标宋简体"/>
          <w:color w:val="000000" w:themeColor="text1"/>
          <w:sz w:val="44"/>
          <w:szCs w:val="44"/>
          <w:lang w:val="zh-CN"/>
        </w:rPr>
        <w:t>通知书</w:t>
      </w:r>
    </w:p>
    <w:p>
      <w:pPr>
        <w:spacing w:line="578" w:lineRule="exact"/>
        <w:jc w:val="center"/>
        <w:rPr>
          <w:rFonts w:ascii="Times New Roman" w:hAnsi="Times New Roman" w:eastAsia="Times New Roman"/>
          <w:color w:val="000000" w:themeColor="text1"/>
          <w:sz w:val="32"/>
          <w:szCs w:val="32"/>
        </w:rPr>
      </w:pPr>
      <w:r>
        <w:rPr>
          <w:rFonts w:hint="eastAsia" w:ascii="仿宋_GB2312" w:hAnsi="仿宋_GB2312" w:eastAsia="仿宋_GB2312"/>
          <w:color w:val="000000" w:themeColor="text1"/>
          <w:sz w:val="32"/>
          <w:szCs w:val="32"/>
          <w:lang w:val="zh-CN"/>
        </w:rPr>
        <w:t>（第组号）</w:t>
      </w:r>
    </w:p>
    <w:p>
      <w:pPr>
        <w:spacing w:line="578" w:lineRule="exact"/>
        <w:jc w:val="left"/>
        <w:rPr>
          <w:rFonts w:ascii="Times New Roman" w:hAnsi="Times New Roman" w:eastAsia="Times New Roman"/>
          <w:color w:val="000000" w:themeColor="text1"/>
          <w:sz w:val="32"/>
          <w:szCs w:val="32"/>
          <w:u w:val="single"/>
        </w:rPr>
      </w:pPr>
    </w:p>
    <w:p>
      <w:pPr>
        <w:spacing w:line="578" w:lineRule="exact"/>
        <w:jc w:val="left"/>
        <w:rPr>
          <w:rFonts w:ascii="Times New Roman" w:hAnsi="Times New Roman" w:eastAsia="Times New Roman"/>
          <w:color w:val="000000" w:themeColor="text1"/>
          <w:sz w:val="32"/>
          <w:szCs w:val="32"/>
        </w:rPr>
      </w:pPr>
      <w:r>
        <w:rPr>
          <w:rFonts w:hint="eastAsia" w:ascii="仿宋_GB2312" w:hAnsi="仿宋_GB2312" w:eastAsia="仿宋_GB2312"/>
          <w:color w:val="000000" w:themeColor="text1"/>
          <w:sz w:val="32"/>
          <w:szCs w:val="32"/>
          <w:lang w:val="zh-CN"/>
        </w:rPr>
        <w:t>市局：</w:t>
      </w:r>
    </w:p>
    <w:p>
      <w:pPr>
        <w:spacing w:line="578" w:lineRule="exact"/>
        <w:ind w:firstLine="640" w:firstLineChars="200"/>
        <w:jc w:val="left"/>
        <w:rPr>
          <w:rFonts w:ascii="Times New Roman" w:hAnsi="Times New Roman" w:eastAsia="Times New Roman"/>
          <w:color w:val="000000" w:themeColor="text1"/>
          <w:sz w:val="32"/>
          <w:szCs w:val="32"/>
          <w:u w:val="single"/>
        </w:rPr>
      </w:pPr>
      <w:r>
        <w:rPr>
          <w:rFonts w:hint="eastAsia" w:ascii="仿宋_GB2312" w:hAnsi="仿宋_GB2312" w:eastAsia="仿宋_GB2312"/>
          <w:color w:val="000000" w:themeColor="text1"/>
          <w:sz w:val="32"/>
          <w:szCs w:val="32"/>
          <w:lang w:val="zh-CN"/>
        </w:rPr>
        <w:t>省住房城乡建设厅安全生产督导</w:t>
      </w:r>
      <w:r>
        <w:rPr>
          <w:rFonts w:hint="eastAsia" w:ascii="仿宋_GB2312" w:hAnsi="仿宋_GB2312" w:eastAsia="仿宋_GB2312"/>
          <w:color w:val="000000" w:themeColor="text1"/>
          <w:sz w:val="32"/>
          <w:szCs w:val="32"/>
        </w:rPr>
        <w:t>帮扶</w:t>
      </w:r>
      <w:r>
        <w:rPr>
          <w:rFonts w:hint="eastAsia" w:ascii="仿宋_GB2312" w:hAnsi="仿宋_GB2312" w:eastAsia="仿宋_GB2312"/>
          <w:color w:val="000000" w:themeColor="text1"/>
          <w:sz w:val="32"/>
          <w:szCs w:val="32"/>
          <w:lang w:val="zh-CN"/>
        </w:rPr>
        <w:t>组于</w:t>
      </w:r>
      <w:r>
        <w:rPr>
          <w:rFonts w:hint="eastAsia" w:ascii="仿宋_GB2312" w:hAnsi="仿宋_GB2312" w:eastAsia="仿宋_GB2312"/>
          <w:color w:val="000000" w:themeColor="text1"/>
          <w:sz w:val="32"/>
          <w:szCs w:val="32"/>
        </w:rPr>
        <w:t>2024</w:t>
      </w:r>
      <w:r>
        <w:rPr>
          <w:rFonts w:hint="eastAsia" w:ascii="仿宋_GB2312" w:hAnsi="仿宋_GB2312" w:eastAsia="仿宋_GB2312"/>
          <w:color w:val="000000" w:themeColor="text1"/>
          <w:sz w:val="32"/>
          <w:szCs w:val="32"/>
          <w:lang w:val="zh-CN"/>
        </w:rPr>
        <w:t>年月日对你市督导</w:t>
      </w:r>
      <w:r>
        <w:rPr>
          <w:rFonts w:hint="eastAsia" w:ascii="仿宋_GB2312" w:hAnsi="仿宋_GB2312" w:eastAsia="仿宋_GB2312"/>
          <w:color w:val="000000" w:themeColor="text1"/>
          <w:sz w:val="32"/>
          <w:szCs w:val="32"/>
        </w:rPr>
        <w:t>帮扶</w:t>
      </w:r>
      <w:r>
        <w:rPr>
          <w:rFonts w:hint="eastAsia" w:ascii="仿宋_GB2312" w:hAnsi="仿宋_GB2312" w:eastAsia="仿宋_GB2312"/>
          <w:color w:val="000000" w:themeColor="text1"/>
          <w:sz w:val="32"/>
          <w:szCs w:val="32"/>
          <w:lang w:val="zh-CN"/>
        </w:rPr>
        <w:t>中发现存在以下问题：</w:t>
      </w:r>
    </w:p>
    <w:p>
      <w:pPr>
        <w:spacing w:line="578" w:lineRule="exact"/>
        <w:jc w:val="left"/>
        <w:rPr>
          <w:rFonts w:ascii="Times New Roman" w:hAnsi="Times New Roman" w:eastAsia="Times New Roman"/>
          <w:color w:val="000000" w:themeColor="text1"/>
          <w:sz w:val="32"/>
          <w:szCs w:val="32"/>
          <w:u w:val="single"/>
        </w:rPr>
      </w:pPr>
    </w:p>
    <w:p>
      <w:pPr>
        <w:spacing w:line="578" w:lineRule="exact"/>
        <w:jc w:val="left"/>
        <w:rPr>
          <w:rFonts w:ascii="Times New Roman" w:hAnsi="Times New Roman" w:eastAsia="Times New Roman"/>
          <w:color w:val="000000" w:themeColor="text1"/>
          <w:sz w:val="32"/>
          <w:szCs w:val="32"/>
          <w:u w:val="single"/>
        </w:rPr>
      </w:pPr>
    </w:p>
    <w:p>
      <w:pPr>
        <w:spacing w:line="578" w:lineRule="exact"/>
        <w:jc w:val="left"/>
        <w:rPr>
          <w:rFonts w:ascii="Times New Roman" w:hAnsi="Times New Roman" w:eastAsia="Times New Roman"/>
          <w:color w:val="000000" w:themeColor="text1"/>
          <w:sz w:val="32"/>
          <w:szCs w:val="32"/>
          <w:u w:val="single"/>
        </w:rPr>
      </w:pPr>
    </w:p>
    <w:p>
      <w:pPr>
        <w:spacing w:line="578" w:lineRule="exact"/>
        <w:jc w:val="left"/>
        <w:rPr>
          <w:rFonts w:ascii="Times New Roman" w:hAnsi="Times New Roman" w:eastAsia="Times New Roman"/>
          <w:color w:val="000000" w:themeColor="text1"/>
          <w:sz w:val="32"/>
          <w:szCs w:val="32"/>
          <w:u w:val="single"/>
        </w:rPr>
      </w:pPr>
    </w:p>
    <w:p>
      <w:pPr>
        <w:spacing w:line="578" w:lineRule="exact"/>
        <w:ind w:firstLine="640" w:firstLineChars="200"/>
        <w:jc w:val="left"/>
        <w:rPr>
          <w:rFonts w:ascii="Times New Roman" w:hAnsi="Times New Roman" w:eastAsia="Times New Roman"/>
          <w:color w:val="000000" w:themeColor="text1"/>
          <w:sz w:val="32"/>
          <w:szCs w:val="32"/>
        </w:rPr>
      </w:pPr>
      <w:r>
        <w:rPr>
          <w:rFonts w:hint="eastAsia" w:ascii="仿宋_GB2312" w:hAnsi="仿宋_GB2312" w:eastAsia="仿宋_GB2312"/>
          <w:color w:val="000000" w:themeColor="text1"/>
          <w:sz w:val="32"/>
          <w:szCs w:val="32"/>
          <w:lang w:val="zh-CN"/>
        </w:rPr>
        <w:t>现责成你市立即组织督促对上述问题进行整改，依法依规对责任单位和人员作出处理处罚，举一反三排查整治各类安全隐患，跟踪复核切实整改到位。整改处罚结果于月日前报省住房城乡建设厅安委会办公室。</w:t>
      </w:r>
    </w:p>
    <w:p>
      <w:pPr>
        <w:spacing w:line="578" w:lineRule="exact"/>
        <w:ind w:firstLine="640" w:firstLineChars="200"/>
        <w:jc w:val="left"/>
        <w:rPr>
          <w:rFonts w:ascii="Times New Roman" w:hAnsi="Times New Roman" w:eastAsia="Times New Roman"/>
          <w:color w:val="000000" w:themeColor="text1"/>
          <w:sz w:val="32"/>
          <w:szCs w:val="32"/>
        </w:rPr>
      </w:pPr>
    </w:p>
    <w:p>
      <w:pPr>
        <w:spacing w:line="578" w:lineRule="exact"/>
        <w:ind w:firstLine="640" w:firstLineChars="200"/>
        <w:jc w:val="left"/>
        <w:rPr>
          <w:rFonts w:ascii="Times New Roman" w:hAnsi="Times New Roman" w:eastAsia="Times New Roman"/>
          <w:color w:val="000000" w:themeColor="text1"/>
          <w:sz w:val="32"/>
          <w:szCs w:val="32"/>
        </w:rPr>
      </w:pPr>
    </w:p>
    <w:p>
      <w:pPr>
        <w:spacing w:line="578" w:lineRule="exact"/>
        <w:ind w:firstLine="640" w:firstLineChars="200"/>
        <w:jc w:val="left"/>
        <w:rPr>
          <w:rFonts w:ascii="仿宋_GB2312" w:hAnsi="仿宋_GB2312" w:eastAsia="仿宋_GB2312"/>
          <w:color w:val="000000" w:themeColor="text1"/>
          <w:sz w:val="32"/>
          <w:szCs w:val="32"/>
        </w:rPr>
      </w:pPr>
      <w:r>
        <w:rPr>
          <w:rFonts w:hint="eastAsia" w:ascii="仿宋_GB2312" w:hAnsi="仿宋_GB2312" w:eastAsia="仿宋_GB2312"/>
          <w:color w:val="000000" w:themeColor="text1"/>
          <w:sz w:val="32"/>
          <w:szCs w:val="32"/>
          <w:lang w:val="zh-CN"/>
        </w:rPr>
        <w:t>组长（签字）：</w:t>
      </w:r>
      <w:r>
        <w:rPr>
          <w:rFonts w:hint="eastAsia" w:ascii="仿宋_GB2312" w:hAnsi="仿宋_GB2312" w:eastAsia="仿宋_GB2312"/>
          <w:color w:val="000000" w:themeColor="text1"/>
          <w:sz w:val="32"/>
          <w:szCs w:val="32"/>
        </w:rPr>
        <w:t xml:space="preserve">         主管部门负责人</w:t>
      </w:r>
      <w:r>
        <w:rPr>
          <w:rFonts w:hint="eastAsia" w:ascii="仿宋_GB2312" w:hAnsi="仿宋_GB2312" w:eastAsia="仿宋_GB2312"/>
          <w:color w:val="000000" w:themeColor="text1"/>
          <w:sz w:val="32"/>
          <w:szCs w:val="32"/>
          <w:lang w:val="zh-CN"/>
        </w:rPr>
        <w:t>（签字）</w:t>
      </w:r>
      <w:r>
        <w:rPr>
          <w:rFonts w:hint="eastAsia" w:ascii="仿宋_GB2312" w:hAnsi="仿宋_GB2312" w:eastAsia="仿宋_GB2312"/>
          <w:color w:val="000000" w:themeColor="text1"/>
          <w:sz w:val="32"/>
          <w:szCs w:val="32"/>
        </w:rPr>
        <w:t>:</w:t>
      </w:r>
    </w:p>
    <w:p>
      <w:pPr>
        <w:spacing w:line="578" w:lineRule="exact"/>
        <w:jc w:val="left"/>
        <w:rPr>
          <w:rFonts w:ascii="仿宋_GB2312" w:hAnsi="仿宋_GB2312" w:eastAsia="仿宋_GB2312"/>
          <w:color w:val="000000" w:themeColor="text1"/>
          <w:sz w:val="32"/>
          <w:szCs w:val="32"/>
        </w:rPr>
      </w:pPr>
    </w:p>
    <w:p>
      <w:pPr>
        <w:spacing w:line="578" w:lineRule="exact"/>
        <w:rPr>
          <w:rFonts w:ascii="仿宋_GB2312" w:hAnsi="仿宋_GB2312" w:eastAsia="仿宋_GB2312"/>
          <w:color w:val="000000" w:themeColor="text1"/>
        </w:rPr>
      </w:pPr>
      <w:r>
        <w:rPr>
          <w:rFonts w:hint="eastAsia" w:ascii="仿宋_GB2312" w:hAnsi="仿宋_GB2312" w:eastAsia="仿宋_GB2312"/>
          <w:color w:val="000000" w:themeColor="text1"/>
          <w:sz w:val="32"/>
          <w:szCs w:val="32"/>
          <w:lang w:val="zh-CN"/>
        </w:rPr>
        <w:t>20</w:t>
      </w:r>
      <w:r>
        <w:rPr>
          <w:rFonts w:hint="eastAsia" w:ascii="仿宋_GB2312" w:hAnsi="仿宋_GB2312" w:eastAsia="仿宋_GB2312"/>
          <w:color w:val="000000" w:themeColor="text1"/>
          <w:sz w:val="32"/>
          <w:szCs w:val="32"/>
        </w:rPr>
        <w:t>24</w:t>
      </w:r>
      <w:r>
        <w:rPr>
          <w:rFonts w:hint="eastAsia" w:ascii="仿宋_GB2312" w:hAnsi="仿宋_GB2312" w:eastAsia="仿宋_GB2312"/>
          <w:color w:val="000000" w:themeColor="text1"/>
          <w:sz w:val="32"/>
          <w:szCs w:val="32"/>
          <w:lang w:val="zh-CN"/>
        </w:rPr>
        <w:t>年  月   日</w:t>
      </w:r>
    </w:p>
    <w:p>
      <w:pPr>
        <w:spacing w:line="630" w:lineRule="exact"/>
        <w:jc w:val="center"/>
        <w:rPr>
          <w:rFonts w:asciiTheme="majorEastAsia" w:hAnsiTheme="majorEastAsia" w:eastAsiaTheme="majorEastAsia" w:cstheme="majorEastAsia"/>
          <w:b/>
          <w:bCs/>
          <w:color w:val="000000" w:themeColor="text1"/>
          <w:sz w:val="44"/>
          <w:szCs w:val="44"/>
        </w:rPr>
        <w:sectPr>
          <w:pgSz w:w="11906" w:h="16838"/>
          <w:pgMar w:top="1440" w:right="1542" w:bottom="1440" w:left="1542" w:header="851" w:footer="851" w:gutter="0"/>
          <w:cols w:space="0" w:num="1"/>
          <w:docGrid w:type="linesAndChars" w:linePitch="312" w:charSpace="0"/>
        </w:sectPr>
      </w:pPr>
    </w:p>
    <w:p>
      <w:pPr>
        <w:snapToGrid w:val="0"/>
        <w:jc w:val="center"/>
        <w:outlineLvl w:val="0"/>
        <w:rPr>
          <w:rFonts w:ascii="方正小标宋简体" w:hAnsi="方正小标宋简体" w:eastAsia="方正小标宋简体" w:cs="方正小标宋简体"/>
          <w:color w:val="000000" w:themeColor="text1"/>
          <w:sz w:val="44"/>
          <w:szCs w:val="44"/>
        </w:rPr>
      </w:pPr>
      <w:bookmarkStart w:id="5" w:name="_Toc5136"/>
      <w:bookmarkStart w:id="6" w:name="_Toc29569"/>
      <w:bookmarkStart w:id="7" w:name="_Toc24297"/>
      <w:r>
        <w:rPr>
          <w:rFonts w:hint="eastAsia" w:ascii="方正小标宋简体" w:hAnsi="方正小标宋简体" w:eastAsia="方正小标宋简体" w:cs="方正小标宋简体"/>
          <w:color w:val="000000" w:themeColor="text1"/>
          <w:sz w:val="44"/>
          <w:szCs w:val="44"/>
        </w:rPr>
        <w:t>全省住建系统安全生产督导</w:t>
      </w:r>
      <w:bookmarkEnd w:id="5"/>
      <w:bookmarkEnd w:id="6"/>
      <w:r>
        <w:rPr>
          <w:rFonts w:hint="eastAsia" w:ascii="方正小标宋简体" w:hAnsi="方正小标宋简体" w:eastAsia="方正小标宋简体" w:cs="方正小标宋简体"/>
          <w:color w:val="000000" w:themeColor="text1"/>
          <w:sz w:val="44"/>
          <w:szCs w:val="44"/>
        </w:rPr>
        <w:t>帮扶</w:t>
      </w:r>
      <w:bookmarkStart w:id="8" w:name="_Toc914"/>
      <w:bookmarkStart w:id="9" w:name="_Toc31130"/>
      <w:r>
        <w:rPr>
          <w:rFonts w:hint="eastAsia" w:ascii="方正小标宋简体" w:hAnsi="方正小标宋简体" w:eastAsia="方正小标宋简体" w:cs="方正小标宋简体"/>
          <w:color w:val="000000" w:themeColor="text1"/>
          <w:sz w:val="44"/>
          <w:szCs w:val="44"/>
        </w:rPr>
        <w:t>指南</w:t>
      </w:r>
      <w:bookmarkEnd w:id="7"/>
      <w:bookmarkEnd w:id="8"/>
      <w:bookmarkEnd w:id="9"/>
    </w:p>
    <w:p>
      <w:pPr>
        <w:spacing w:line="630" w:lineRule="exact"/>
        <w:jc w:val="center"/>
        <w:rPr>
          <w:rFonts w:ascii="黑体" w:hAnsi="黑体" w:eastAsia="黑体" w:cs="黑体"/>
          <w:color w:val="000000" w:themeColor="text1"/>
          <w:sz w:val="32"/>
          <w:szCs w:val="32"/>
        </w:rPr>
      </w:pPr>
    </w:p>
    <w:p>
      <w:pPr>
        <w:spacing w:line="630" w:lineRule="exact"/>
        <w:jc w:val="center"/>
        <w:outlineLvl w:val="1"/>
        <w:rPr>
          <w:rFonts w:ascii="黑体" w:hAnsi="黑体" w:eastAsia="黑体" w:cs="黑体"/>
          <w:color w:val="000000" w:themeColor="text1"/>
          <w:sz w:val="32"/>
          <w:szCs w:val="32"/>
        </w:rPr>
      </w:pPr>
      <w:bookmarkStart w:id="10" w:name="_Toc87968218"/>
      <w:bookmarkStart w:id="11" w:name="_Toc29871_WPSOffice_Level1"/>
      <w:bookmarkStart w:id="12" w:name="_Toc4638_WPSOffice_Level1"/>
      <w:bookmarkStart w:id="13" w:name="_Toc806"/>
      <w:bookmarkStart w:id="14" w:name="_Toc22090"/>
      <w:r>
        <w:rPr>
          <w:rFonts w:hint="eastAsia" w:ascii="黑体" w:hAnsi="黑体" w:eastAsia="黑体" w:cs="黑体"/>
          <w:color w:val="000000" w:themeColor="text1"/>
          <w:sz w:val="32"/>
          <w:szCs w:val="32"/>
        </w:rPr>
        <w:t>（一）</w:t>
      </w:r>
      <w:bookmarkEnd w:id="10"/>
      <w:bookmarkEnd w:id="11"/>
      <w:bookmarkEnd w:id="12"/>
      <w:r>
        <w:rPr>
          <w:rFonts w:hint="eastAsia" w:ascii="黑体" w:hAnsi="黑体" w:eastAsia="黑体" w:cs="黑体"/>
          <w:color w:val="000000" w:themeColor="text1"/>
          <w:sz w:val="32"/>
          <w:szCs w:val="32"/>
        </w:rPr>
        <w:t>城镇燃气</w:t>
      </w:r>
      <w:bookmarkEnd w:id="13"/>
      <w:r>
        <w:rPr>
          <w:rFonts w:hint="eastAsia" w:ascii="黑体" w:hAnsi="黑体" w:eastAsia="黑体" w:cs="黑体"/>
          <w:color w:val="000000" w:themeColor="text1"/>
          <w:sz w:val="32"/>
          <w:szCs w:val="32"/>
        </w:rPr>
        <w:t>方面</w:t>
      </w:r>
      <w:bookmarkEnd w:id="14"/>
    </w:p>
    <w:p>
      <w:pPr>
        <w:widowControl/>
        <w:adjustRightInd w:val="0"/>
        <w:snapToGrid w:val="0"/>
        <w:spacing w:line="630" w:lineRule="exact"/>
        <w:ind w:firstLine="640" w:firstLineChars="200"/>
        <w:jc w:val="left"/>
        <w:rPr>
          <w:rFonts w:ascii="仿宋_GB2312" w:hAnsi="仿宋_GB2312" w:eastAsia="仿宋_GB2312" w:cs="仿宋_GB2312"/>
          <w:b/>
          <w:bCs/>
          <w:color w:val="000000" w:themeColor="text1"/>
          <w:sz w:val="32"/>
          <w:szCs w:val="32"/>
        </w:rPr>
      </w:pPr>
    </w:p>
    <w:p>
      <w:pPr>
        <w:spacing w:line="578" w:lineRule="exact"/>
        <w:ind w:firstLine="640" w:firstLineChars="200"/>
        <w:rPr>
          <w:rFonts w:ascii="黑体" w:hAnsi="黑体" w:eastAsia="黑体" w:cs="黑体"/>
          <w:color w:val="000000" w:themeColor="text1"/>
          <w:sz w:val="32"/>
          <w:szCs w:val="32"/>
        </w:rPr>
      </w:pPr>
      <w:bookmarkStart w:id="15" w:name="_Toc87968219"/>
      <w:bookmarkStart w:id="16" w:name="_Toc27024_WPSOffice_Level1"/>
      <w:bookmarkStart w:id="17" w:name="_Toc87967545"/>
      <w:bookmarkStart w:id="18" w:name="_Toc14412_WPSOffice_Level1"/>
      <w:r>
        <w:rPr>
          <w:rFonts w:hint="eastAsia" w:ascii="黑体" w:hAnsi="黑体" w:eastAsia="黑体" w:cs="黑体"/>
          <w:color w:val="000000" w:themeColor="text1"/>
          <w:sz w:val="32"/>
          <w:szCs w:val="32"/>
        </w:rPr>
        <w:t>一、重点帮扶内容</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1.集中攻坚“回头看”自查情况，全面梳理前期排查出安全隐患，对没有完成整改的，查阅工作台账；</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2.各地对照燃气安全分场景执法检查清单，组织再排查、再整治情况；</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3.依据国家和省城镇燃气安全专项整治工作方案明确的职责分工进展情况；</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4.工作专班各成员单位组织本行业领域，特别是住建领域开展集中攻坚“回头看”专项行动情况；</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5.加装用户端安全装置、建设燃气企业在线监控系统、落实入户安检制度、规范瓶装液化石油气配送、打击不合格燃气具及配件、提高应急处置能力、防范既有管网泄漏等“七项重点工作”落实情况。</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二、检查方式</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结合城镇燃气安全专项整治市级交叉互查，通过查阅资料、座谈交流、现场查看等方式进行。每市至少抽查２个县（市、区），每个县（市、区）至少抽查2个街道（社区）。</w:t>
      </w:r>
    </w:p>
    <w:p>
      <w:pPr>
        <w:pStyle w:val="2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查阅以下资料：各地燃气管理部门和燃气企业集中攻坚“回头看”专项行动方案（计划）、燃气管理部门和燃气企业未完成整改隐患台账、燃气管理部门和燃气企业再排查、再整治工作台账、职责分工文件、各行业领域“回头看”专项行动部署文件、通报执法案例、公布的举报电话等。座谈交流以下内容：围绕加装用户端安全装置、建设燃气企业在线监控系统、落实入户安检制度、规范瓶装液化石油气配送、打击不合格燃气具及配件、提高应急处置能力、防范既有管网泄漏等“七项重点工作”，所做的主要工作、取得成效和意见建议。现场检查以下场所：10家餐饮企业、10家居民用户，对照检查表逐项打√；管道燃气企业、瓶装液化气企业各1家，重点是是否制定加装用户端安全装置工作计划及进展、是否建设燃气企业在线监控系统、是否落实入户安检制度及台账、是否规范瓶装液化石油气配送及工作推进计划、是否配备应急器材及台账等情况，对照检查表打√。</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联络员：崔森  18654551566</w:t>
      </w:r>
    </w:p>
    <w:p>
      <w:pPr>
        <w:spacing w:line="630" w:lineRule="exact"/>
        <w:jc w:val="center"/>
        <w:rPr>
          <w:rFonts w:ascii="黑体" w:hAnsi="黑体" w:eastAsia="黑体" w:cs="黑体"/>
          <w:color w:val="000000" w:themeColor="text1"/>
          <w:sz w:val="32"/>
          <w:szCs w:val="32"/>
        </w:rPr>
      </w:pPr>
    </w:p>
    <w:p>
      <w:pPr>
        <w:spacing w:line="630" w:lineRule="exact"/>
        <w:jc w:val="center"/>
        <w:rPr>
          <w:rFonts w:ascii="黑体" w:hAnsi="黑体" w:eastAsia="黑体" w:cs="黑体"/>
          <w:color w:val="000000" w:themeColor="text1"/>
          <w:sz w:val="32"/>
          <w:szCs w:val="32"/>
        </w:rPr>
      </w:pPr>
    </w:p>
    <w:p>
      <w:pPr>
        <w:spacing w:line="630" w:lineRule="exact"/>
        <w:jc w:val="center"/>
        <w:rPr>
          <w:rFonts w:ascii="黑体" w:hAnsi="黑体" w:eastAsia="黑体" w:cs="黑体"/>
          <w:color w:val="000000" w:themeColor="text1"/>
          <w:sz w:val="32"/>
          <w:szCs w:val="32"/>
        </w:rPr>
      </w:pPr>
    </w:p>
    <w:p>
      <w:pPr>
        <w:spacing w:line="630" w:lineRule="exact"/>
        <w:jc w:val="center"/>
        <w:rPr>
          <w:rFonts w:ascii="黑体" w:hAnsi="黑体" w:eastAsia="黑体" w:cs="黑体"/>
          <w:color w:val="000000" w:themeColor="text1"/>
          <w:sz w:val="32"/>
          <w:szCs w:val="32"/>
        </w:rPr>
      </w:pPr>
    </w:p>
    <w:p>
      <w:pPr>
        <w:spacing w:line="630" w:lineRule="exact"/>
        <w:jc w:val="center"/>
        <w:rPr>
          <w:rFonts w:ascii="黑体" w:hAnsi="黑体" w:eastAsia="黑体" w:cs="黑体"/>
          <w:color w:val="000000" w:themeColor="text1"/>
          <w:sz w:val="32"/>
          <w:szCs w:val="32"/>
        </w:rPr>
      </w:pPr>
    </w:p>
    <w:p>
      <w:pPr>
        <w:spacing w:line="630" w:lineRule="exact"/>
        <w:jc w:val="center"/>
        <w:rPr>
          <w:rFonts w:ascii="黑体" w:hAnsi="黑体" w:eastAsia="黑体" w:cs="黑体"/>
          <w:color w:val="000000" w:themeColor="text1"/>
          <w:sz w:val="32"/>
          <w:szCs w:val="32"/>
        </w:rPr>
        <w:sectPr>
          <w:pgSz w:w="11906" w:h="16838"/>
          <w:pgMar w:top="1440" w:right="1542" w:bottom="1440" w:left="1542" w:header="851" w:footer="851" w:gutter="0"/>
          <w:cols w:space="0" w:num="1"/>
          <w:docGrid w:type="linesAndChars" w:linePitch="312" w:charSpace="0"/>
        </w:sectPr>
      </w:pPr>
    </w:p>
    <w:tbl>
      <w:tblPr>
        <w:tblStyle w:val="15"/>
        <w:tblW w:w="13900" w:type="dxa"/>
        <w:tblInd w:w="0" w:type="dxa"/>
        <w:tblLayout w:type="autofit"/>
        <w:tblCellMar>
          <w:top w:w="0" w:type="dxa"/>
          <w:left w:w="0" w:type="dxa"/>
          <w:bottom w:w="0" w:type="dxa"/>
          <w:right w:w="0" w:type="dxa"/>
        </w:tblCellMar>
      </w:tblPr>
      <w:tblGrid>
        <w:gridCol w:w="764"/>
        <w:gridCol w:w="5117"/>
        <w:gridCol w:w="2492"/>
        <w:gridCol w:w="1735"/>
        <w:gridCol w:w="993"/>
        <w:gridCol w:w="1766"/>
        <w:gridCol w:w="1033"/>
      </w:tblGrid>
      <w:tr>
        <w:tblPrEx>
          <w:tblCellMar>
            <w:top w:w="0" w:type="dxa"/>
            <w:left w:w="0" w:type="dxa"/>
            <w:bottom w:w="0" w:type="dxa"/>
            <w:right w:w="0" w:type="dxa"/>
          </w:tblCellMar>
        </w:tblPrEx>
        <w:trPr>
          <w:trHeight w:val="90" w:hRule="atLeast"/>
        </w:trPr>
        <w:tc>
          <w:tcPr>
            <w:tcW w:w="1390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方正小标宋简体" w:hAnsi="方正小标宋简体" w:eastAsia="方正小标宋简体" w:cs="方正小标宋简体"/>
                <w:color w:val="000000" w:themeColor="text1"/>
                <w:sz w:val="36"/>
                <w:szCs w:val="36"/>
              </w:rPr>
            </w:pPr>
            <w:bookmarkStart w:id="19" w:name="_Toc31487"/>
            <w:r>
              <w:rPr>
                <w:rFonts w:hint="eastAsia" w:ascii="方正小标宋简体" w:hAnsi="方正小标宋简体" w:eastAsia="方正小标宋简体" w:cs="方正小标宋简体"/>
                <w:color w:val="000000" w:themeColor="text1"/>
                <w:kern w:val="0"/>
                <w:sz w:val="36"/>
                <w:szCs w:val="36"/>
              </w:rPr>
              <w:t>管道燃气经营企业检查表</w:t>
            </w:r>
          </w:p>
        </w:tc>
      </w:tr>
      <w:tr>
        <w:tblPrEx>
          <w:tblCellMar>
            <w:top w:w="0" w:type="dxa"/>
            <w:left w:w="0" w:type="dxa"/>
            <w:bottom w:w="0" w:type="dxa"/>
            <w:right w:w="0" w:type="dxa"/>
          </w:tblCellMar>
        </w:tblPrEx>
        <w:trPr>
          <w:trHeight w:val="90"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32"/>
                <w:szCs w:val="32"/>
              </w:rPr>
            </w:pPr>
          </w:p>
        </w:tc>
      </w:tr>
      <w:tr>
        <w:tblPrEx>
          <w:tblCellMar>
            <w:top w:w="0" w:type="dxa"/>
            <w:left w:w="0" w:type="dxa"/>
            <w:bottom w:w="0" w:type="dxa"/>
            <w:right w:w="0" w:type="dxa"/>
          </w:tblCellMar>
        </w:tblPrEx>
        <w:trPr>
          <w:trHeight w:val="90"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企业名称： 地址：   检查人员：  检查时间：</w:t>
            </w: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序号</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检查内容</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检查依据或标准</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检查方法和要点</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0"/>
                <w:szCs w:val="20"/>
              </w:rPr>
              <w:t>合格打√，否打×</w:t>
            </w: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问题描述</w:t>
            </w: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备注</w:t>
            </w: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★未取得燃气经营许可证从事燃气经营活动</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重大隐患标准、《城镇燃气管理条例》第四十五条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检查证件及是否在有效期内</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78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★未建立安全风险分级管控制度</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重大隐患标准、《中华人民共和国安全生产法》第一百零一条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查阅制度及签发单</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★未建立事故隐患排查治理制度</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重大隐患标准、《中华人民共和国安全生产法》第一百零一条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查阅制度及签发单</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★未制定生产安全事故应急救援预案</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重大隐患标准、《中华人民共和国安全生产法》第九十七条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查阅应急救援预案备案回执</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1386"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5</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★未建立对燃气用户燃气设施的定期安全检查制度，未对餐饮企业等用户进行户内燃气设施定期安全检查</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重大隐患标准、《城镇燃气管理条例》第四十六条、省专项整治方案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查阅制度、入户安检台账</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和入户检查对照</w:t>
            </w:r>
          </w:p>
        </w:tc>
      </w:tr>
      <w:tr>
        <w:tblPrEx>
          <w:tblCellMar>
            <w:top w:w="0" w:type="dxa"/>
            <w:left w:w="0" w:type="dxa"/>
            <w:bottom w:w="0" w:type="dxa"/>
            <w:right w:w="0" w:type="dxa"/>
          </w:tblCellMar>
        </w:tblPrEx>
        <w:trPr>
          <w:trHeight w:val="1019"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6</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★燃气经营者供应不具有标准要求警示性臭味燃气</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重大隐患标准、《燃气工程项目规范》第3.0.7条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18"/>
                <w:szCs w:val="18"/>
              </w:rPr>
              <w:t>查阅最近一次用户端加臭量检测记录（四氢噻吩</w:t>
            </w:r>
            <w:r>
              <w:rPr>
                <w:rFonts w:hint="eastAsia" w:ascii="仿宋_GB2312" w:hAnsi="宋体" w:eastAsia="仿宋_GB2312" w:cs="仿宋_GB2312"/>
                <w:color w:val="000000" w:themeColor="text1"/>
                <w:kern w:val="0"/>
                <w:sz w:val="22"/>
                <w:szCs w:val="22"/>
              </w:rPr>
              <w:t>≥</w:t>
            </w:r>
            <w:r>
              <w:rPr>
                <w:rFonts w:hint="eastAsia" w:ascii="仿宋_GB2312" w:hAnsi="宋体" w:eastAsia="仿宋_GB2312" w:cs="仿宋_GB2312"/>
                <w:color w:val="000000" w:themeColor="text1"/>
                <w:kern w:val="0"/>
                <w:sz w:val="18"/>
                <w:szCs w:val="18"/>
              </w:rPr>
              <w:t>8㎎/m³）</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7</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★在中压及以上地下燃气管线保护范围内，建有占压管线的建筑物、构筑物或者其他设施</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重大隐患标准、《城镇燃气管理条例》第五十条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查阅整改台账、抽查整改现场</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8</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★除确需穿过且已采取有效防护措施外，输配管道在排水管（沟）、供水管渠、热力管沟、电缆沟、城市交通隧道、城市轨道交通隧道和地下人行通道等地下构筑物内敷设</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重大隐患标准、《燃气工程项目规范》第5.1.16条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查阅整改台账、抽查整改现场</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9</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★调压装置未设置防止燃气出口压力超过下游压力允许值的安全保护措施</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重大隐患标准、《燃气工程项目规范》第4.2.18条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18"/>
                <w:szCs w:val="18"/>
              </w:rPr>
              <w:t>现场检查调压装置（有放散管、阀合格）</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10</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★燃气储罐未设置压力、罐容或液位显示等监测装置，或不具有超限报警功能</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重大隐患标准、《燃气工程项目规范》第4.3.2条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厂站现场检查、查看系统功能</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11</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★燃气厂站内设备和管道未设置防止系统压力参数超过限值的自动切断和放散装置</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重大隐患标准、《燃气工程项目规范》第4.2.5条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厂站现场检查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12</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★压缩天然气、液化天然气装卸系统未设置防止装卸用管拉脱的联锁保护装置</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重大隐患标准、《燃气工程项目规范》第4.2.8条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厂站现场检查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13</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★燃气厂站内设置在有爆炸危险环境的电气、仪表装置，不具有与该区域爆炸危险等级相对应的防爆性能</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重大隐患标准、《燃气工程项目规范》第4.2.18条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厂站现场检查（含电源线路）</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14</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★燃气厂站内可燃气体泄漏浓度可能达到爆炸下限20%的燃气设施区域内或建（构）筑物内，未设置固定式可燃气体浓度报警装置</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重大隐患标准、《燃气工程项目规范》第4.2.17条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厂站现场检查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15</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★燃气经营者在对燃气用户进行安全检查时，发现燃气引入管、立管、水平干管设置在卫生间内，不按规定采取书面告知用户整改等措施</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重大隐患标准、《燃气工程项目规范》第5.3.4条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18"/>
                <w:szCs w:val="18"/>
              </w:rPr>
            </w:pPr>
            <w:r>
              <w:rPr>
                <w:rFonts w:hint="eastAsia" w:ascii="仿宋_GB2312" w:hAnsi="宋体" w:eastAsia="仿宋_GB2312" w:cs="仿宋_GB2312"/>
                <w:color w:val="000000" w:themeColor="text1"/>
                <w:kern w:val="0"/>
                <w:sz w:val="18"/>
                <w:szCs w:val="18"/>
              </w:rPr>
              <w:t>查阅入户安检记录，结合入户抽查综合判定</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16</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18"/>
                <w:szCs w:val="18"/>
              </w:rPr>
              <w:t>★</w:t>
            </w:r>
            <w:r>
              <w:rPr>
                <w:rFonts w:hint="eastAsia" w:ascii="黑体" w:hAnsi="宋体" w:eastAsia="黑体" w:cs="黑体"/>
                <w:color w:val="000000" w:themeColor="text1"/>
                <w:kern w:val="0"/>
                <w:sz w:val="20"/>
                <w:szCs w:val="20"/>
              </w:rPr>
              <w:t>燃气经营者在对燃气用户进行安全检查时，发现燃气管道及附件、燃具设置在卧室、旅馆建筑客房等人员居住和休息的房间内，不按规定采取书面告知用户整改等措施</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重大隐患标准、《燃气工程项目规范》第5.3.3条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18"/>
                <w:szCs w:val="18"/>
              </w:rPr>
            </w:pPr>
            <w:r>
              <w:rPr>
                <w:rFonts w:hint="eastAsia" w:ascii="仿宋_GB2312" w:hAnsi="宋体" w:eastAsia="仿宋_GB2312" w:cs="仿宋_GB2312"/>
                <w:color w:val="000000" w:themeColor="text1"/>
                <w:kern w:val="0"/>
                <w:sz w:val="18"/>
                <w:szCs w:val="18"/>
              </w:rPr>
              <w:t>查阅入户安检记录，结合入户抽查综合判定</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17</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★燃气经营者在对燃气用户进行安全检查时，发现使用国家明令淘汰的燃气燃烧器具、连接管，不按规定采取书面告知用户整改等措施</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Cs w:val="21"/>
              </w:rPr>
            </w:pPr>
            <w:r>
              <w:rPr>
                <w:rFonts w:hint="eastAsia" w:ascii="仿宋_GB2312" w:hAnsi="宋体" w:eastAsia="仿宋_GB2312" w:cs="仿宋_GB2312"/>
                <w:color w:val="000000" w:themeColor="text1"/>
                <w:kern w:val="0"/>
                <w:szCs w:val="21"/>
              </w:rPr>
              <w:t>重大隐患标准、《城镇燃气管理条例》第二十七条</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18"/>
                <w:szCs w:val="18"/>
              </w:rPr>
              <w:t>查阅入户安检记录，结合入户抽查综合判定</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18</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★发现其他严重违反城镇燃气经营法律法规及标准规范，且存在危害程度较大、可能导致群死群伤或造成重大经济损失的现实危险</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现场抽查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19</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未按规定对其供气范围内的管道进行巡查维护</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18"/>
                <w:szCs w:val="18"/>
              </w:rPr>
              <w:t>根据安全风险分级管控制度，查阅巡检制度，查看巡查测漏记录</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20</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未告知用户不得擅自改装户内燃气设施、不得在同一房间内使用两种及以上气源等安全用气要求</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18"/>
                <w:szCs w:val="18"/>
              </w:rPr>
              <w:t>查阅入户安检记录，结合入户抽查综合判定</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21</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对超设计运行年限、安全间距不足、安全设施不健全、临近人员密集区域、地质灾害风险隐患大等不满足安全要求的厂站设施，逐个建立整治台账</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查阅厂站设施整治台账</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22</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燃气阀井及相邻管沟、阀井等设施存在燃气泄漏风险</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Cs w:val="21"/>
              </w:rPr>
              <w:t>使用检漏设备抽查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18"/>
                <w:szCs w:val="18"/>
              </w:rPr>
              <w:t>漏气按照18项处置</w:t>
            </w: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23</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燃气管道周边建设项目未落实燃气设施保护方案</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Cs w:val="21"/>
              </w:rPr>
              <w:t>抽查在建</w:t>
            </w:r>
            <w:r>
              <w:rPr>
                <w:rFonts w:hint="eastAsia" w:ascii="仿宋_GB2312" w:hAnsi="宋体" w:eastAsia="仿宋_GB2312" w:cs="仿宋_GB2312"/>
                <w:color w:val="000000" w:themeColor="text1"/>
                <w:szCs w:val="21"/>
              </w:rPr>
              <w:t>建设项目</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24</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安全生产管理人员配备数量不足、主要负责人和安全生产管理人员未经专业培训并考核合格</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检查人员证件和数量（占比≥3‰）</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25</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3月底前，全面完成既有用户的橡胶软管更换工作，实现不合格软管清零</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查阅软管更换台账、入户抽查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26</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对餐饮等人员密集场所燃气报警器安装进行排查，确保实现全覆盖</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入户抽查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27</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18"/>
                <w:szCs w:val="18"/>
              </w:rPr>
              <w:t>尽快查缺补漏，完善在线监控系统，全面补齐主次管网、厂站等节点的物联智能感知设备，确保“应安尽安”，确保管网运行数据实时监测、厂站运行监测、泄漏监测、日常巡检管理和户内安检等功能正常运行，预警正常有效，及时发现问题、解决问题</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现场查看系统功能（未建立的倒查政府推进计划）</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在检查内容内打√</w:t>
            </w: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28</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春节前，督促燃气企业全面完成对所有用户在醒目位置张贴“安全用气提示贴”，同时公布燃气企业服务电话，餐饮等人员密集场所还要公布举报电话。</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结合入户抽查判定，拨打服务电话核实</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29</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燃气企业入户安检，要留存照片、检查单等检查记录，建立入户检查台账，协助用户及时整改问题隐患</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查阅入户检查台账、入户抽查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30</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对入户到访不遇的，建立到访不遇台账，燃气企业应及时告知，一个月内依然联系不上的可采取停气措施</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查阅到访不遇台账</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665"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31</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1月底前，管道燃气经营企业配备完成管道定位仪、泄漏检测仪、成份分析仪等器材装备</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查阅设备设施台账、现场核查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16"/>
                <w:szCs w:val="16"/>
              </w:rPr>
              <w:t>泄漏检测仪设备数量明显小于巡检人数作为问题</w:t>
            </w:r>
          </w:p>
        </w:tc>
      </w:tr>
      <w:tr>
        <w:tblPrEx>
          <w:tblCellMar>
            <w:top w:w="0" w:type="dxa"/>
            <w:left w:w="0" w:type="dxa"/>
            <w:bottom w:w="0" w:type="dxa"/>
            <w:right w:w="0" w:type="dxa"/>
          </w:tblCellMar>
        </w:tblPrEx>
        <w:trPr>
          <w:trHeight w:val="690" w:hRule="atLeast"/>
        </w:trPr>
        <w:tc>
          <w:tcPr>
            <w:tcW w:w="76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32</w:t>
            </w:r>
          </w:p>
        </w:tc>
        <w:tc>
          <w:tcPr>
            <w:tcW w:w="51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督促管道天然气企业加大对老城区、老旧小区及老旧管网的巡查维护力度，落实全覆盖巡线检测制度</w:t>
            </w:r>
          </w:p>
        </w:tc>
        <w:tc>
          <w:tcPr>
            <w:tcW w:w="24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3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查阅管网巡查、维护台账、使用检漏仪抽查</w:t>
            </w:r>
          </w:p>
        </w:tc>
        <w:tc>
          <w:tcPr>
            <w:tcW w:w="9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76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312" w:hRule="atLeast"/>
        </w:trPr>
        <w:tc>
          <w:tcPr>
            <w:tcW w:w="0" w:type="auto"/>
            <w:gridSpan w:val="7"/>
            <w:vMerge w:val="restart"/>
            <w:tcBorders>
              <w:top w:val="nil"/>
              <w:left w:val="nil"/>
              <w:bottom w:val="nil"/>
              <w:right w:val="nil"/>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备注：除以上内容外，根据国家和省有关规定，其他需要检查的内容也一并检查并填报，加“★”黑体为重大（严重）隐患事项。</w:t>
            </w:r>
          </w:p>
        </w:tc>
      </w:tr>
      <w:tr>
        <w:tblPrEx>
          <w:tblCellMar>
            <w:top w:w="0" w:type="dxa"/>
            <w:left w:w="0" w:type="dxa"/>
            <w:bottom w:w="0" w:type="dxa"/>
            <w:right w:w="0" w:type="dxa"/>
          </w:tblCellMar>
        </w:tblPrEx>
        <w:trPr>
          <w:trHeight w:val="312" w:hRule="atLeast"/>
        </w:trPr>
        <w:tc>
          <w:tcPr>
            <w:tcW w:w="0" w:type="auto"/>
            <w:gridSpan w:val="7"/>
            <w:vMerge w:val="continue"/>
            <w:tcBorders>
              <w:top w:val="nil"/>
              <w:left w:val="nil"/>
              <w:bottom w:val="nil"/>
              <w:right w:val="nil"/>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bl>
    <w:p>
      <w:pPr>
        <w:spacing w:line="0" w:lineRule="atLeast"/>
        <w:rPr>
          <w:color w:val="000000" w:themeColor="text1"/>
        </w:rPr>
        <w:sectPr>
          <w:headerReference r:id="rId7" w:type="default"/>
          <w:footerReference r:id="rId8" w:type="default"/>
          <w:pgSz w:w="16838" w:h="11906" w:orient="landscape"/>
          <w:pgMar w:top="1440" w:right="1800" w:bottom="1440" w:left="1800" w:header="851" w:footer="992" w:gutter="0"/>
          <w:cols w:space="720" w:num="1"/>
          <w:docGrid w:type="lines" w:linePitch="312" w:charSpace="0"/>
        </w:sectPr>
      </w:pPr>
    </w:p>
    <w:tbl>
      <w:tblPr>
        <w:tblStyle w:val="15"/>
        <w:tblW w:w="13960" w:type="dxa"/>
        <w:tblInd w:w="0" w:type="dxa"/>
        <w:tblLayout w:type="autofit"/>
        <w:tblCellMar>
          <w:top w:w="0" w:type="dxa"/>
          <w:left w:w="0" w:type="dxa"/>
          <w:bottom w:w="0" w:type="dxa"/>
          <w:right w:w="0" w:type="dxa"/>
        </w:tblCellMar>
      </w:tblPr>
      <w:tblGrid>
        <w:gridCol w:w="767"/>
        <w:gridCol w:w="4440"/>
        <w:gridCol w:w="2275"/>
        <w:gridCol w:w="2876"/>
        <w:gridCol w:w="734"/>
        <w:gridCol w:w="1825"/>
        <w:gridCol w:w="1043"/>
      </w:tblGrid>
      <w:tr>
        <w:tblPrEx>
          <w:tblCellMar>
            <w:top w:w="0" w:type="dxa"/>
            <w:left w:w="0" w:type="dxa"/>
            <w:bottom w:w="0" w:type="dxa"/>
            <w:right w:w="0" w:type="dxa"/>
          </w:tblCellMar>
        </w:tblPrEx>
        <w:trPr>
          <w:trHeight w:val="90"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方正小标宋简体" w:hAnsi="方正小标宋简体" w:eastAsia="方正小标宋简体" w:cs="方正小标宋简体"/>
                <w:color w:val="000000" w:themeColor="text1"/>
                <w:sz w:val="36"/>
                <w:szCs w:val="36"/>
              </w:rPr>
            </w:pPr>
            <w:r>
              <w:rPr>
                <w:rFonts w:hint="eastAsia" w:ascii="方正小标宋简体" w:hAnsi="方正小标宋简体" w:eastAsia="方正小标宋简体" w:cs="方正小标宋简体"/>
                <w:color w:val="000000" w:themeColor="text1"/>
                <w:kern w:val="0"/>
                <w:sz w:val="36"/>
                <w:szCs w:val="36"/>
              </w:rPr>
              <w:t>瓶装液化石油气经营（充装）企业检查表</w:t>
            </w:r>
          </w:p>
        </w:tc>
      </w:tr>
      <w:tr>
        <w:tblPrEx>
          <w:tblCellMar>
            <w:top w:w="0" w:type="dxa"/>
            <w:left w:w="0" w:type="dxa"/>
            <w:bottom w:w="0" w:type="dxa"/>
            <w:right w:w="0" w:type="dxa"/>
          </w:tblCellMar>
        </w:tblPrEx>
        <w:trPr>
          <w:trHeight w:val="90"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32"/>
                <w:szCs w:val="32"/>
              </w:rPr>
            </w:pPr>
          </w:p>
        </w:tc>
      </w:tr>
      <w:tr>
        <w:tblPrEx>
          <w:tblCellMar>
            <w:top w:w="0" w:type="dxa"/>
            <w:left w:w="0" w:type="dxa"/>
            <w:bottom w:w="0" w:type="dxa"/>
            <w:right w:w="0" w:type="dxa"/>
          </w:tblCellMar>
        </w:tblPrEx>
        <w:trPr>
          <w:trHeight w:val="90"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企业名称： 地址：  检查人员： 检查时间：</w:t>
            </w: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序号</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检查内容</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检查依据或标准</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检查方法和要点</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0"/>
                <w:szCs w:val="20"/>
              </w:rPr>
              <w:t>合格打√，否打×</w:t>
            </w: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问题描述</w:t>
            </w: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备注</w:t>
            </w: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★未取得燃气经营许可证从事燃气经营活动</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重大隐患标准、《城镇燃气管理条例》第四十五条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检查证件及是否在有效期内</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★未建立安全风险分级管控制度</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重大隐患标准、《中华人民共和国安全生产法》第一百零一条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查阅制度及签发单</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★未建立事故隐患排查治理制度</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重大隐患标准、《中华人民共和国安全生产法》第一百零一条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查阅制度及签发单</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★未制定生产安全事故应急救援预案</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重大隐患标准、《中华人民共和国安全生产法》第九十七条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查阅应急救援预案备案回执</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5</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★液化石油气储罐未设置压力、液位显示等监测装置，或不具有超限报警功能</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Cs w:val="21"/>
              </w:rPr>
              <w:t>重大隐患标准、《燃气工程项目规范》第4.3.2条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现场检查、查看系统功能</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6</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★液化气站内设备和管道未设置防止系统压力参数超过限值的自动切断和放散装置</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Cs w:val="21"/>
              </w:rPr>
              <w:t>重大隐患标准、《燃气工程项目规范》第4.2.5</w:t>
            </w:r>
            <w:r>
              <w:rPr>
                <w:rFonts w:hint="eastAsia" w:ascii="仿宋_GB2312" w:hAnsi="宋体" w:eastAsia="仿宋_GB2312" w:cs="仿宋_GB2312"/>
                <w:color w:val="000000" w:themeColor="text1"/>
                <w:kern w:val="0"/>
                <w:sz w:val="22"/>
                <w:szCs w:val="22"/>
              </w:rPr>
              <w:t>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18"/>
                <w:szCs w:val="18"/>
              </w:rPr>
              <w:t>现场检查调压装置（有放散阀并定期检验标识合格）</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7</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★液化石油气装卸系统未设置防止装卸用管拉脱的联锁保护装置</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重大隐患标准、《燃气工程项目规范》第4.2.8条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8</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★液化气站内设置在有爆炸危险环境的电气、仪表装置，不具有与该区域爆炸危险等级相对应的防爆性能</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重大隐患标准、《燃气工程项目规范》第4.2.18条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现场检查（含电源线路）</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9</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★液化气站内可燃气体泄漏浓度可能达到爆炸下限20%的燃气设施区域内或建（构）筑物内，未设置固定式可燃气体浓度报警装置</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重大隐患标准、《燃气工程项目规范》第4.2.17条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10</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★燃气经营者供应不具有标准要求警示性臭味燃气的。</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重大隐患标准、《燃气工程项目规范》第3.0.7条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查阅气质检验报告或加臭证明（含硫量≥22㎎/m³）</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11</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★燃气经营者在对燃气用户进行安全检查时，发现重大隐患，不按规定采取书面告知用户整改等措施的</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重大隐患标准、《燃气工程项目规范》第2.2.7条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查阅入户检查台账、结合入户抽查结果判定</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12</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kern w:val="0"/>
                <w:sz w:val="22"/>
                <w:szCs w:val="22"/>
              </w:rPr>
            </w:pPr>
            <w:r>
              <w:rPr>
                <w:rFonts w:hint="eastAsia" w:ascii="黑体" w:hAnsi="宋体" w:eastAsia="黑体" w:cs="黑体"/>
                <w:color w:val="000000" w:themeColor="text1"/>
                <w:kern w:val="0"/>
                <w:sz w:val="22"/>
                <w:szCs w:val="22"/>
              </w:rPr>
              <w:t>★擅自为非自有气瓶充装燃气</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重大隐患标准</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结合入户抽查倒查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黑气瓶</w:t>
            </w: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13</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kern w:val="0"/>
                <w:sz w:val="22"/>
                <w:szCs w:val="22"/>
              </w:rPr>
            </w:pPr>
            <w:r>
              <w:rPr>
                <w:rFonts w:hint="eastAsia" w:ascii="黑体" w:hAnsi="宋体" w:eastAsia="黑体" w:cs="黑体"/>
                <w:color w:val="000000" w:themeColor="text1"/>
                <w:kern w:val="0"/>
                <w:sz w:val="22"/>
                <w:szCs w:val="22"/>
              </w:rPr>
              <w:t>★销售未经许可的充装单位充装的瓶装燃气</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重大隐患标准</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结合入户抽查倒查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黑窝点</w:t>
            </w: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14</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kern w:val="0"/>
                <w:sz w:val="22"/>
                <w:szCs w:val="22"/>
              </w:rPr>
            </w:pPr>
            <w:r>
              <w:rPr>
                <w:rFonts w:hint="eastAsia" w:ascii="黑体" w:hAnsi="宋体" w:eastAsia="黑体" w:cs="黑体"/>
                <w:color w:val="000000" w:themeColor="text1"/>
                <w:kern w:val="0"/>
                <w:sz w:val="22"/>
                <w:szCs w:val="22"/>
              </w:rPr>
              <w:t>★销售充装单位擅自为非自有气瓶充装的瓶装燃气</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重大隐患标准</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结合入户抽查倒查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黑气瓶</w:t>
            </w: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15</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★发现其他严重违反城镇燃气经营法律法规及标准规范，且存在危害程度较大、可能导致群死群伤或造成重大经济损失的现实危险</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随机抽查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16</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textAlignment w:val="center"/>
              <w:rPr>
                <w:rFonts w:ascii="仿宋_GB2312" w:hAnsi="宋体" w:eastAsia="仿宋_GB2312" w:cs="仿宋_GB2312"/>
                <w:color w:val="000000" w:themeColor="text1"/>
                <w:kern w:val="0"/>
                <w:sz w:val="20"/>
                <w:szCs w:val="20"/>
              </w:rPr>
            </w:pPr>
            <w:r>
              <w:rPr>
                <w:rFonts w:hint="eastAsia" w:ascii="仿宋_GB2312" w:hAnsi="宋体" w:eastAsia="仿宋_GB2312" w:cs="仿宋_GB2312"/>
                <w:color w:val="000000" w:themeColor="text1"/>
                <w:kern w:val="0"/>
                <w:sz w:val="22"/>
                <w:szCs w:val="22"/>
              </w:rPr>
              <w:t>燃气经营者在对燃气用户进行安全检查时，发现液化石油气管道、调压装置和燃具等设置在高层建筑、商业综合体内，不按规定采取书面告知用户整改等措施</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0"/>
                <w:szCs w:val="20"/>
              </w:rPr>
            </w:pPr>
            <w:r>
              <w:rPr>
                <w:rFonts w:hint="eastAsia" w:ascii="仿宋_GB2312" w:hAnsi="宋体" w:eastAsia="仿宋_GB2312" w:cs="仿宋_GB2312"/>
                <w:color w:val="000000" w:themeColor="text1"/>
                <w:kern w:val="0"/>
                <w:sz w:val="22"/>
                <w:szCs w:val="22"/>
              </w:rPr>
              <w:t>高层民用建筑消防安全管理规定 第十七条；公共娱乐场所消防安全管理规定 第十三条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查阅入户检查台账、入户抽查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17</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是否非法掺混二甲醚，违规向餐饮企业配送工业丙烷、醇基燃料、生物质燃油等工业燃料</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查阅当地市场监管部门气质检验台账，企业进销台账</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无气质检验台账的记录</w:t>
            </w: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b/>
                <w:bCs/>
                <w:color w:val="000000" w:themeColor="text1"/>
                <w:sz w:val="22"/>
                <w:szCs w:val="22"/>
              </w:rPr>
            </w:pPr>
            <w:r>
              <w:rPr>
                <w:rFonts w:hint="eastAsia" w:ascii="仿宋_GB2312" w:hAnsi="宋体" w:eastAsia="仿宋_GB2312" w:cs="仿宋_GB2312"/>
                <w:color w:val="000000" w:themeColor="text1"/>
                <w:kern w:val="0"/>
                <w:sz w:val="22"/>
                <w:szCs w:val="22"/>
              </w:rPr>
              <w:t>18</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对瓶装液化石油气经营企业未要求其送气人员在送气时开展随瓶安检</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查阅配送台账和安检记录</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19</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组织对超设计运行年限、安全间距不足、安全设施不健全、临近人员密集区域、地质灾害风险隐患大等不满足安全要求的厂站设施，逐个建立整治台账，限期完成整改</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查阅厂站设施整治台账</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20</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不符合许可条件或未按许可规定经营</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查阅经营许可证和充装许可证，结合入户倒查超范围经营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21</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落实全员安全生产责任制不到位、安全生产管理人员配备数量不足、主要负责人和安全生产管理人员未经专业培训并考核合格</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Cs w:val="21"/>
              </w:rPr>
              <w:t>查阅安全生产责任制度、人员证件（每个岗位不少于1人）</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22</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燃气经营企业及主要负责人落实安全生产主体责任不到位</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结合其他事项检查情况，作出综合判断</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23</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未对其从事送气服务的人员和配送工具制定并实施安全管理规范</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0"/>
                <w:szCs w:val="20"/>
              </w:rPr>
              <w:t>查阅配送管理制度、核查配送人员燃气经营企业从业人员专业培训考核合格证书、抽查配送台账</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24</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3月底前，全面完成既有用户的橡胶软管更换工作，实现不合格软管清零</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查阅软管更换台账、入户抽查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25</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对餐饮等人员密集场所燃气报警器安装进行排查，确保实现全覆盖</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入户抽查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26</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2025年年底前，非居民用户全部加装燃气泄漏报警切断装置</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Cs w:val="21"/>
              </w:rPr>
            </w:pPr>
            <w:r>
              <w:rPr>
                <w:rFonts w:hint="eastAsia" w:ascii="仿宋_GB2312" w:hAnsi="宋体" w:eastAsia="仿宋_GB2312" w:cs="仿宋_GB2312"/>
                <w:color w:val="000000" w:themeColor="text1"/>
                <w:kern w:val="0"/>
                <w:szCs w:val="21"/>
              </w:rPr>
              <w:t>十条措施</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Cs w:val="21"/>
              </w:rPr>
            </w:pPr>
            <w:r>
              <w:rPr>
                <w:rFonts w:hint="eastAsia" w:ascii="仿宋_GB2312" w:hAnsi="宋体" w:eastAsia="仿宋_GB2312" w:cs="仿宋_GB2312"/>
                <w:color w:val="000000" w:themeColor="text1"/>
                <w:kern w:val="0"/>
                <w:szCs w:val="21"/>
              </w:rPr>
              <w:t>查看企业督促用户加装计划（列入计划未安装的应暂停供气）</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7"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27</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所有瓶装液化石油气充装企业完成气瓶安全追溯体系建设，实现“一瓶一码”管理</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现场查看系统功能、扫码抽查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28</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春节前，督促燃气企业全面完成对所有用户在醒目位置张贴“安全用气提示贴”，同时公布燃气企业服务电话，餐饮等人员密集场所还要公布举报电话</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查阅台账、入户抽查，拨打服务电话</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29</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燃气企业入户安检，要留存照片、检查单等检查记录，建立入户检查台账，督促用户及时整改问题隐患</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查阅入户检查台账、入户抽查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30</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春节前，所有液化石油气经营企业实现统一配送到户，并对使用环境进行安全检查</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查阅资料、入户抽查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31</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加强对配送人员的培训，提高安全检查能力和水平，对发现的使用环境问题应协助用户立即整改，对存在重大安全隐患的，暂停供气</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查阅配送人员培训记录和隐患整改台账、入户抽查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32</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★气瓶充装许可情况（检查《气瓶充装许可证》，抽查气瓶）</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《特种设备安全法》第四十九条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Cs w:val="21"/>
              </w:rPr>
              <w:t>查看许可期限是否在有效期内，实际地址、营业执照等与许可证是否一致。查看充装的气瓶与许可证发证范围是否一致</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33</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作业人员情况（抽查作业人员档案、在岗作业人员证件）</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《特种设备安全法》第十四条，《特种设备作业人员监督管理办法》（市场监管总局令第140号）</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Cs w:val="21"/>
              </w:rPr>
              <w:t>查看是否按规定配备作业人员、安全管理人员。查看是否持证上岗，证件是否在有效期内，作业项目是否与实际作业项目一致，有无雇佣（聘用）单位盖章或法定代表人（授权人）的签字盖章</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34</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安全总监和安全员任命</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《特种设备使用单位落实使用安全主体责任监督管理规定》（市场监管总局令第74号）</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查看特种设备（压力容器、压力管道、气瓶等）安全总监和安全员任命文件</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35</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制度文件制定情况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《特种设备使用单位落实使用安全主体责任监督管理规定》（市场监管总局令第74号）</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查看《特种设备安全风险管控清单》《特种设备安全总监职责》《特种设备安全员守则》等制度文件</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36</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建立并落实日管控、周排查、月调度等工作机制情况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《特种设备使用单位落实使用安全主体责任监督管理规定》（市场监管总局令第74号）</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查看是否建立日管控、周排查、月调度等工作机制，是否按要求做好记录</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37</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充装前后检查记录</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《特种设备安全法》第四十九条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查看是否建立充装前后检查记录，记录是否与实际充装活动一致</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38</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气瓶充装质量追溯信息系统建立使用情况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《气瓶安全技术规程》8.4</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查看是否建立气瓶充装追溯系统，现场充装气瓶，查看气瓶充装追溯系统中是否生成充装记录</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39</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★压力容器、工业管道使用登记、检验情况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《特种设备安全法》第三十三条、第四十条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抽查使用的特种设备的使用登记证和检验报告，查看是否办理使用登记，定期检验报告是否在有效期内</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40</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安全阀、爆破片等校验、更换情况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《特种设备安全法》第三十九条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抽查使用的安全阀、爆破片等安全附件的校验报告、铭牌，查看是否在校验有效期内，是否按要求的期限更换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876"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41</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紧急切断系统设置情况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《固定式压力容器安全技术监察规程》</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查看气瓶充装装置，是否按要求装设紧急切断系统</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42</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卸车区鹤管安装情况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《移动式压力容器安全技术监察规程》6.3</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查看燃气卸车装置，是否按要求安装卸液鹤管，是否按要求进行压力试验并做好记录</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43</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w:t>
            </w:r>
            <w:r>
              <w:rPr>
                <w:rFonts w:hint="eastAsia" w:ascii="黑体" w:hAnsi="宋体" w:eastAsia="黑体" w:cs="黑体"/>
                <w:color w:val="000000" w:themeColor="text1"/>
                <w:kern w:val="0"/>
                <w:sz w:val="22"/>
                <w:szCs w:val="22"/>
              </w:rPr>
              <w:t>气瓶使用登记情况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《特种设备安全法》第三十三条，《气瓶安全技术规程》</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抽查气瓶档案、使用登记证，查看自有产权气瓶是否办理使用登记，是否录入本单位气瓶充装追溯系统</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44</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已充气气瓶上的信息化标志设置、漆色涂覆情况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《气瓶安全技术规程》</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抽查气瓶，查看标志和漆色是否符合相应要求</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45</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★充装超期未检、超过使用年限气瓶、报废气瓶以及使用过的非重复充装气瓶情况</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《特种设备安全法》第四十九条</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抽查气瓶，查看其检验日期是否在有效期内，使用年限是否超期，是否重复充装一次性使用的气瓶</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4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46</w:t>
            </w:r>
          </w:p>
        </w:tc>
        <w:tc>
          <w:tcPr>
            <w:tcW w:w="44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禁止气液双相瓶（只允许单纯的气相瓶或液相瓶。</w:t>
            </w:r>
            <w:r>
              <w:rPr>
                <w:rFonts w:ascii="仿宋_GB2312" w:hAnsi="宋体" w:eastAsia="仿宋_GB2312" w:cs="仿宋_GB2312"/>
                <w:color w:val="000000" w:themeColor="text1"/>
                <w:kern w:val="0"/>
                <w:sz w:val="22"/>
                <w:szCs w:val="22"/>
              </w:rPr>
              <w:t>完善气瓶钢印信息。增加电子识读标志。统一气瓶瓶身颜色。提高质量追溯信息要求</w:t>
            </w:r>
            <w:r>
              <w:rPr>
                <w:rFonts w:hint="eastAsia" w:ascii="仿宋_GB2312" w:hAnsi="宋体" w:eastAsia="仿宋_GB2312" w:cs="仿宋_GB2312"/>
                <w:color w:val="000000" w:themeColor="text1"/>
                <w:kern w:val="0"/>
                <w:sz w:val="22"/>
                <w:szCs w:val="22"/>
              </w:rPr>
              <w:t>）</w:t>
            </w:r>
          </w:p>
        </w:tc>
        <w:tc>
          <w:tcPr>
            <w:tcW w:w="2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《液化石油气钢瓶》（GB 5842-2023）</w:t>
            </w:r>
          </w:p>
        </w:tc>
        <w:tc>
          <w:tcPr>
            <w:tcW w:w="28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Cs w:val="21"/>
              </w:rPr>
              <w:t>对不符合国家标准的在用“气液双相”气瓶要召回并移交检验机构报废处理。入户抽查倒查</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8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bottom"/>
          </w:tcPr>
          <w:p>
            <w:pPr>
              <w:spacing w:line="0" w:lineRule="atLeast"/>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备注：除以上内容外，根据国家和省有关规定，其他需要检查的内容也一并检查并填报，加“★”黑体为重大（严重）隐患事项。</w:t>
            </w:r>
          </w:p>
        </w:tc>
      </w:tr>
    </w:tbl>
    <w:p>
      <w:pPr>
        <w:spacing w:line="0" w:lineRule="atLeast"/>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br w:type="page"/>
      </w:r>
    </w:p>
    <w:tbl>
      <w:tblPr>
        <w:tblStyle w:val="15"/>
        <w:tblW w:w="13960" w:type="dxa"/>
        <w:tblInd w:w="0" w:type="dxa"/>
        <w:tblLayout w:type="fixed"/>
        <w:tblCellMar>
          <w:top w:w="0" w:type="dxa"/>
          <w:left w:w="0" w:type="dxa"/>
          <w:bottom w:w="0" w:type="dxa"/>
          <w:right w:w="0" w:type="dxa"/>
        </w:tblCellMar>
      </w:tblPr>
      <w:tblGrid>
        <w:gridCol w:w="768"/>
        <w:gridCol w:w="5339"/>
        <w:gridCol w:w="2654"/>
        <w:gridCol w:w="1752"/>
        <w:gridCol w:w="1009"/>
        <w:gridCol w:w="1406"/>
        <w:gridCol w:w="1032"/>
      </w:tblGrid>
      <w:tr>
        <w:tblPrEx>
          <w:tblCellMar>
            <w:top w:w="0" w:type="dxa"/>
            <w:left w:w="0" w:type="dxa"/>
            <w:bottom w:w="0" w:type="dxa"/>
            <w:right w:w="0" w:type="dxa"/>
          </w:tblCellMar>
        </w:tblPrEx>
        <w:trPr>
          <w:trHeight w:val="392"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方正小标宋简体" w:hAnsi="方正小标宋简体" w:eastAsia="方正小标宋简体" w:cs="方正小标宋简体"/>
                <w:color w:val="000000" w:themeColor="text1"/>
                <w:sz w:val="36"/>
                <w:szCs w:val="36"/>
              </w:rPr>
            </w:pPr>
            <w:r>
              <w:rPr>
                <w:rFonts w:hint="eastAsia" w:ascii="方正小标宋简体" w:hAnsi="方正小标宋简体" w:eastAsia="方正小标宋简体" w:cs="方正小标宋简体"/>
                <w:color w:val="000000" w:themeColor="text1"/>
                <w:kern w:val="0"/>
                <w:sz w:val="36"/>
                <w:szCs w:val="36"/>
              </w:rPr>
              <w:t>管道天然气餐饮等非居民用户检查表</w:t>
            </w:r>
          </w:p>
        </w:tc>
      </w:tr>
      <w:tr>
        <w:tblPrEx>
          <w:tblCellMar>
            <w:top w:w="0" w:type="dxa"/>
            <w:left w:w="0" w:type="dxa"/>
            <w:bottom w:w="0" w:type="dxa"/>
            <w:right w:w="0" w:type="dxa"/>
          </w:tblCellMar>
        </w:tblPrEx>
        <w:trPr>
          <w:trHeight w:val="392"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32"/>
                <w:szCs w:val="32"/>
              </w:rPr>
            </w:pPr>
          </w:p>
        </w:tc>
      </w:tr>
      <w:tr>
        <w:tblPrEx>
          <w:tblCellMar>
            <w:top w:w="0" w:type="dxa"/>
            <w:left w:w="0" w:type="dxa"/>
            <w:bottom w:w="0" w:type="dxa"/>
            <w:right w:w="0" w:type="dxa"/>
          </w:tblCellMar>
        </w:tblPrEx>
        <w:trPr>
          <w:trHeight w:val="200"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 xml:space="preserve">企业名称：  地址：  检查人员：检查时间： </w:t>
            </w:r>
          </w:p>
        </w:tc>
      </w:tr>
      <w:tr>
        <w:tblPrEx>
          <w:tblCellMar>
            <w:top w:w="0" w:type="dxa"/>
            <w:left w:w="0" w:type="dxa"/>
            <w:bottom w:w="0" w:type="dxa"/>
            <w:right w:w="0" w:type="dxa"/>
          </w:tblCellMar>
        </w:tblPrEx>
        <w:trPr>
          <w:trHeight w:val="39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序号</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检查内容</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检查依据或标准</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检查方法和要点</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0"/>
                <w:szCs w:val="20"/>
              </w:rPr>
              <w:t>合格打√，否打×</w:t>
            </w: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问题描述</w:t>
            </w: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备注</w:t>
            </w:r>
          </w:p>
        </w:tc>
      </w:tr>
      <w:tr>
        <w:tblPrEx>
          <w:tblCellMar>
            <w:top w:w="0" w:type="dxa"/>
            <w:left w:w="0" w:type="dxa"/>
            <w:bottom w:w="0" w:type="dxa"/>
            <w:right w:w="0" w:type="dxa"/>
          </w:tblCellMar>
        </w:tblPrEx>
        <w:trPr>
          <w:trHeight w:val="39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★使用国家明令淘汰的燃气燃烧器具、连接管</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5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★燃气引入管、立管、水平干管设置在卫生间内</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重大隐患标准、《燃气工程项目规范》第5.3.4条</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5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★燃气管道及附件、燃具设置在卧室、旅馆建筑客房等人员居住和休息的房间内</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重大隐患标准、《燃气工程项目规范》第5.3.3条</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723"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★发现其他严重违反城镇燃气经营法律法规及标准规范，且存在危害程度较大、可能导致群死群伤或造成重大经济损失的现实危险</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抽查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723"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5</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燃气管道、调压装置和燃具等设置在地下室、半地下室、地下箱体及其他密闭地下空间内</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《燃气工程项目规范》第2.2.7条</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现场检查，是否符合安全要求</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移交消防部门判定</w:t>
            </w:r>
          </w:p>
        </w:tc>
      </w:tr>
      <w:tr>
        <w:tblPrEx>
          <w:tblCellMar>
            <w:top w:w="0" w:type="dxa"/>
            <w:left w:w="0" w:type="dxa"/>
            <w:bottom w:w="0" w:type="dxa"/>
            <w:right w:w="0" w:type="dxa"/>
          </w:tblCellMar>
        </w:tblPrEx>
        <w:trPr>
          <w:trHeight w:val="36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6</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餐饮企业未落实消防安全责任制</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现场检查制度</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r>
      <w:tr>
        <w:tblPrEx>
          <w:tblCellMar>
            <w:top w:w="0" w:type="dxa"/>
            <w:left w:w="0" w:type="dxa"/>
            <w:bottom w:w="0" w:type="dxa"/>
            <w:right w:w="0" w:type="dxa"/>
          </w:tblCellMar>
        </w:tblPrEx>
        <w:trPr>
          <w:trHeight w:val="39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7</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未按规定组织对从业人员进行消防安全教育和培训</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现场检查、现场提问</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r>
      <w:tr>
        <w:tblPrEx>
          <w:tblCellMar>
            <w:top w:w="0" w:type="dxa"/>
            <w:left w:w="0" w:type="dxa"/>
            <w:bottom w:w="0" w:type="dxa"/>
            <w:right w:w="0" w:type="dxa"/>
          </w:tblCellMar>
        </w:tblPrEx>
        <w:trPr>
          <w:trHeight w:val="39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8</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未制定和实施灭火和应急疏散预案</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现场检查、查阅预案</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r>
      <w:tr>
        <w:tblPrEx>
          <w:tblCellMar>
            <w:top w:w="0" w:type="dxa"/>
            <w:left w:w="0" w:type="dxa"/>
            <w:bottom w:w="0" w:type="dxa"/>
            <w:right w:w="0" w:type="dxa"/>
          </w:tblCellMar>
        </w:tblPrEx>
        <w:trPr>
          <w:trHeight w:val="36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9</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违规用气、用火、用电</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r>
      <w:tr>
        <w:tblPrEx>
          <w:tblCellMar>
            <w:top w:w="0" w:type="dxa"/>
            <w:left w:w="0" w:type="dxa"/>
            <w:bottom w:w="0" w:type="dxa"/>
            <w:right w:w="0" w:type="dxa"/>
          </w:tblCellMar>
        </w:tblPrEx>
        <w:trPr>
          <w:trHeight w:val="39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10</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连接软管长度超过2米、私接“三通”或穿越墙体、门窗、顶棚和地面的</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sz w:val="22"/>
                <w:szCs w:val="22"/>
              </w:rPr>
              <w:t>倒查入户台账</w:t>
            </w:r>
          </w:p>
        </w:tc>
      </w:tr>
      <w:tr>
        <w:tblPrEx>
          <w:tblCellMar>
            <w:top w:w="0" w:type="dxa"/>
            <w:left w:w="0" w:type="dxa"/>
            <w:bottom w:w="0" w:type="dxa"/>
            <w:right w:w="0" w:type="dxa"/>
          </w:tblCellMar>
        </w:tblPrEx>
        <w:trPr>
          <w:trHeight w:val="39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11</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未规范安装、使用可燃气体探测器及燃气紧急切断阀</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12</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对餐饮企业等人员密集场所未规范设置疏散通道、安全出口，疏散通道或安全出口未保持畅通、在门窗上设置了影响逃生和灭火救援的广告牌等障碍物</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546"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13</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消防设施器材或者消防安全标志的配置设置不符合国家标准、行业标准或者未保持完好有效的</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rPr>
          <w:trHeight w:val="368"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14</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对餐饮企业建立安全生产管理制度</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查阅资料</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546"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15</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对“九小场所”中餐饮企业的疏散通道、安全出口畅通情况，电源火源管理方面存在的突出问题隐患</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546"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16</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完成既有管道天然气用户的橡胶软管更换工作</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546"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17</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人员聚集的餐饮、单位食堂等场所，不合格的“灶、管、阀”要全部清零</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0"/>
                <w:szCs w:val="20"/>
              </w:rPr>
              <w:t>现场检查（无熄火保护灶具为不合格）</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倒查企业台账，询问来源</w:t>
            </w:r>
          </w:p>
        </w:tc>
      </w:tr>
      <w:tr>
        <w:tblPrEx>
          <w:tblCellMar>
            <w:top w:w="0" w:type="dxa"/>
            <w:left w:w="0" w:type="dxa"/>
            <w:bottom w:w="0" w:type="dxa"/>
            <w:right w:w="0" w:type="dxa"/>
          </w:tblCellMar>
        </w:tblPrEx>
        <w:trPr>
          <w:trHeight w:val="1254"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18</w:t>
            </w:r>
          </w:p>
        </w:tc>
        <w:tc>
          <w:tcPr>
            <w:tcW w:w="53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各用气单位要建立用气安全公示制度，在各类用气场所醒目位置张贴安全用气注意事项、应急处置流程、入户安全检查单、供用气合同书，公示燃气安全管理责任人及联系电话</w:t>
            </w:r>
          </w:p>
        </w:tc>
        <w:tc>
          <w:tcPr>
            <w:tcW w:w="265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十条措施</w:t>
            </w:r>
          </w:p>
        </w:tc>
        <w:tc>
          <w:tcPr>
            <w:tcW w:w="17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0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200"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备注：除以上内容外，根据国家和省有关规定，其他需要检查的内容也一并检查并填报，加“★”黑体为重大（严重）隐患事项。</w:t>
            </w:r>
          </w:p>
        </w:tc>
      </w:tr>
    </w:tbl>
    <w:p>
      <w:pPr>
        <w:spacing w:line="0" w:lineRule="atLeast"/>
        <w:rPr>
          <w:color w:val="000000" w:themeColor="text1"/>
        </w:rPr>
        <w:sectPr>
          <w:pgSz w:w="16838" w:h="11906" w:orient="landscape"/>
          <w:pgMar w:top="1519" w:right="1440" w:bottom="1519" w:left="1440" w:header="851" w:footer="992" w:gutter="0"/>
          <w:cols w:space="720" w:num="1"/>
          <w:docGrid w:type="lines" w:linePitch="312" w:charSpace="0"/>
        </w:sectPr>
      </w:pPr>
    </w:p>
    <w:tbl>
      <w:tblPr>
        <w:tblStyle w:val="15"/>
        <w:tblW w:w="13960" w:type="dxa"/>
        <w:tblInd w:w="0" w:type="dxa"/>
        <w:tblLayout w:type="fixed"/>
        <w:tblCellMar>
          <w:top w:w="0" w:type="dxa"/>
          <w:left w:w="0" w:type="dxa"/>
          <w:bottom w:w="0" w:type="dxa"/>
          <w:right w:w="0" w:type="dxa"/>
        </w:tblCellMar>
      </w:tblPr>
      <w:tblGrid>
        <w:gridCol w:w="768"/>
        <w:gridCol w:w="5125"/>
        <w:gridCol w:w="2584"/>
        <w:gridCol w:w="2018"/>
        <w:gridCol w:w="1027"/>
        <w:gridCol w:w="1406"/>
        <w:gridCol w:w="1032"/>
      </w:tblGrid>
      <w:tr>
        <w:tblPrEx>
          <w:tblCellMar>
            <w:top w:w="0" w:type="dxa"/>
            <w:left w:w="0" w:type="dxa"/>
            <w:bottom w:w="0" w:type="dxa"/>
            <w:right w:w="0" w:type="dxa"/>
          </w:tblCellMar>
        </w:tblPrEx>
        <w:trPr>
          <w:trHeight w:val="90"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方正小标宋简体" w:hAnsi="方正小标宋简体" w:eastAsia="方正小标宋简体" w:cs="方正小标宋简体"/>
                <w:color w:val="000000" w:themeColor="text1"/>
                <w:sz w:val="36"/>
                <w:szCs w:val="36"/>
              </w:rPr>
            </w:pPr>
            <w:r>
              <w:rPr>
                <w:rFonts w:hint="eastAsia" w:ascii="方正小标宋简体" w:hAnsi="方正小标宋简体" w:eastAsia="方正小标宋简体" w:cs="方正小标宋简体"/>
                <w:color w:val="000000" w:themeColor="text1"/>
                <w:kern w:val="0"/>
                <w:sz w:val="36"/>
                <w:szCs w:val="36"/>
              </w:rPr>
              <w:t>瓶装液化石油气餐饮等非居民用户检查表</w:t>
            </w:r>
          </w:p>
        </w:tc>
      </w:tr>
      <w:tr>
        <w:tblPrEx>
          <w:tblCellMar>
            <w:top w:w="0" w:type="dxa"/>
            <w:left w:w="0" w:type="dxa"/>
            <w:bottom w:w="0" w:type="dxa"/>
            <w:right w:w="0" w:type="dxa"/>
          </w:tblCellMar>
        </w:tblPrEx>
        <w:trPr>
          <w:trHeight w:val="90"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32"/>
                <w:szCs w:val="32"/>
              </w:rPr>
            </w:pPr>
          </w:p>
        </w:tc>
      </w:tr>
      <w:tr>
        <w:tblPrEx>
          <w:tblCellMar>
            <w:top w:w="0" w:type="dxa"/>
            <w:left w:w="0" w:type="dxa"/>
            <w:bottom w:w="0" w:type="dxa"/>
            <w:right w:w="0" w:type="dxa"/>
          </w:tblCellMar>
        </w:tblPrEx>
        <w:trPr>
          <w:trHeight w:val="90"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企业名称： 地址：    检查人员：   检查时间：</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序号</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检查内容</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检查依据或标准</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检查方法和要点</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18"/>
                <w:szCs w:val="18"/>
              </w:rPr>
              <w:t>合格打√，否打×</w:t>
            </w: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问题描述</w:t>
            </w: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备注</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★燃气相对密度大于等于0.75的燃气管道、调压装置和燃具等设置在地下室、半地下室、地下箱体及其他密闭地下空间内</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重大隐患标准、《燃气工程项目规范》第2.2.7条</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★使用国家明令淘汰的燃气燃烧器具、连接管</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★燃气引入管、立管、水平干管设置在卫生间内</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重大隐患标准、《燃气工程项目规范》第5.3.4条</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★燃气管道及附件、燃具设置在卧室、旅馆建筑客房等人员居住和休息的房间内</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重大隐患标准、《燃气工程项目规范》第5.3.3条</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5</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★发现其他严重违反城镇燃气经营法律法规及标准规范，且存在危害程度较大、可能导致群死群伤或造成重大经济损失的现实危险</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抽查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6</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液化石油气管道、调压装置和燃具等设置在高层建筑、商业综合体内</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高层民用建筑消防安全管理规定第十七条；公共娱乐场所消防安全管理规定 第十三条</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7</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对餐饮企业未落实消防安全责任制</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8</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未按规定组织对从业人员进行消防安全教育和培训</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现场检查、现场提问</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9</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未制定和实施灭火和应急疏散预案</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现场检查、查阅预案</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10</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违规用气、用火、用电</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11</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存放气瓶总重量超过100kg但未设置专用气瓶间</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12</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在用气瓶和备用气瓶未分开放置的</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13</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连接软管长度超过2米、私接“三通”或穿越墙体、门窗、顶棚和地面的</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14</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未规范安装、使用可燃气体探测器及燃气紧急切断阀的</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0"/>
                <w:szCs w:val="20"/>
              </w:rPr>
              <w:t>现场检查（未安装切断阀，且未列入安装计划的暂为合格）</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sz w:val="22"/>
                <w:szCs w:val="22"/>
              </w:rPr>
              <w:t>倒查企业计划</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15</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禁止气液双相瓶（</w:t>
            </w:r>
            <w:r>
              <w:rPr>
                <w:rFonts w:ascii="仿宋_GB2312" w:hAnsi="宋体" w:eastAsia="仿宋_GB2312" w:cs="仿宋_GB2312"/>
                <w:color w:val="000000" w:themeColor="text1"/>
                <w:kern w:val="0"/>
                <w:sz w:val="22"/>
                <w:szCs w:val="22"/>
              </w:rPr>
              <w:t>完善气瓶钢印信息。增加电子识读标志。统一气瓶瓶身颜色。提高质量追溯信息要求</w:t>
            </w:r>
            <w:r>
              <w:rPr>
                <w:rFonts w:hint="eastAsia" w:ascii="仿宋_GB2312" w:hAnsi="宋体" w:eastAsia="仿宋_GB2312" w:cs="仿宋_GB2312"/>
                <w:color w:val="000000" w:themeColor="text1"/>
                <w:kern w:val="0"/>
                <w:sz w:val="22"/>
                <w:szCs w:val="22"/>
              </w:rPr>
              <w:t>）</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《液化石油气钢瓶》（GB 5842-2023）</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现场检查（使用液相瓶的为不合格）</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询问来源</w:t>
            </w:r>
            <w:r>
              <w:rPr>
                <w:rFonts w:hint="eastAsia" w:ascii="仿宋_GB2312" w:hAnsi="宋体" w:eastAsia="仿宋_GB2312" w:cs="仿宋_GB2312"/>
                <w:color w:val="000000" w:themeColor="text1"/>
                <w:sz w:val="22"/>
                <w:szCs w:val="22"/>
              </w:rPr>
              <w:t>，倒查企业台账</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16</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使用可调节出口压力的调压器</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r>
              <w:rPr>
                <w:rFonts w:hint="eastAsia" w:ascii="仿宋_GB2312" w:hAnsi="宋体" w:eastAsia="仿宋_GB2312" w:cs="仿宋_GB2312"/>
                <w:color w:val="000000" w:themeColor="text1"/>
                <w:kern w:val="0"/>
                <w:sz w:val="22"/>
                <w:szCs w:val="22"/>
              </w:rPr>
              <w:t>询问来源</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17</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使用不符合国家标准或假冒伪劣的液化石油气瓶、可燃气体探测器及燃气紧急切断阀、调压器、连接软管、灶具等燃气具及配件等</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现场检查、一瓶一码扫描</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倒查企业台账，</w:t>
            </w:r>
            <w:r>
              <w:rPr>
                <w:rFonts w:hint="eastAsia" w:ascii="仿宋_GB2312" w:hAnsi="宋体" w:eastAsia="仿宋_GB2312" w:cs="仿宋_GB2312"/>
                <w:color w:val="000000" w:themeColor="text1"/>
                <w:kern w:val="0"/>
                <w:sz w:val="22"/>
                <w:szCs w:val="22"/>
              </w:rPr>
              <w:t>询问来源</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18</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对餐饮企业等人员密集场所未规范设置疏散通道、安全出口，疏散通道或安全出口未保持畅通、在门窗上设置了影响逃生和灭火救援的广告牌等障碍物</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19</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消防设施器材或者消防安全标志的配置设置不符合国家标准、行业标准或者未保持完好有效的</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sz w:val="22"/>
                <w:szCs w:val="22"/>
              </w:rPr>
              <w:t>20</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对餐饮企业建立安全生产管理制度</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查阅资料</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21</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对从业人员开展瓶装液化石油气安全、消防安全常识和应急处置技能培训情况</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查阅资料、现场提问</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22</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对“九小场所”中餐饮企业的疏散通道、安全出口畅通情况，电源火源管理方面存在的突出问题隐患</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23</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完成既有瓶装液化气用户的橡胶软管更换工作</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1202"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24</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送气到户同步实施安检服务,发现用户存在使用问题气、问题瓶、可调式减压阀、不合格软管和灶具及其它安全隐患的,应及时报告行业主管部门,由行业主管部门(或移交有执法权限相关部门)要求限期整改,拒不整改的燃气企业应暂停供气,同时报告燃气管理部门,通报质量监管部门</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十条措施</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查看入户安全检查单、供用气合同书，扫描瓶体二维码、查询是否供气企业送气，现场查看使用环境</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b/>
                <w:bCs/>
                <w:color w:val="000000" w:themeColor="text1"/>
                <w:kern w:val="0"/>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bCs/>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倒查企业台账，询问来源，登记黑气瓶出处</w:t>
            </w:r>
          </w:p>
        </w:tc>
      </w:tr>
      <w:tr>
        <w:tblPrEx>
          <w:tblCellMar>
            <w:top w:w="0" w:type="dxa"/>
            <w:left w:w="0" w:type="dxa"/>
            <w:bottom w:w="0" w:type="dxa"/>
            <w:right w:w="0" w:type="dxa"/>
          </w:tblCellMar>
        </w:tblPrEx>
        <w:trPr>
          <w:trHeight w:val="1202"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25</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春节前，所有液化石油气经营企业实现统一配送到户，并对使用环境进行安全检查</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回头看方案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扫描瓶体二维码、现场抽查使用环境，检查企业是否进行入户安检，拨打送气电话</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bCs/>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bCs/>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倒查企业台账，询问是否自提</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26</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人员聚集的餐饮、单位食堂等场所，不合格的“瓶、灶、管、阀”要全部清零</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倒查企业台账，询问来源</w:t>
            </w:r>
          </w:p>
        </w:tc>
      </w:tr>
      <w:tr>
        <w:tblPrEx>
          <w:tblCellMar>
            <w:top w:w="0" w:type="dxa"/>
            <w:left w:w="0" w:type="dxa"/>
            <w:bottom w:w="0" w:type="dxa"/>
            <w:right w:w="0" w:type="dxa"/>
          </w:tblCellMar>
        </w:tblPrEx>
        <w:trPr>
          <w:trHeight w:val="9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27</w:t>
            </w:r>
          </w:p>
        </w:tc>
        <w:tc>
          <w:tcPr>
            <w:tcW w:w="512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各用气单位要建立用气安全公示制度，在各类用气场所醒目位置张贴安全用气注意事项、应急处置流程、入户安全检查单、供用气合同书，公示燃气安全管理责任人及联系电话</w:t>
            </w:r>
          </w:p>
        </w:tc>
        <w:tc>
          <w:tcPr>
            <w:tcW w:w="25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十条措施</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现场检查安全提示贴、入户安全检查单、供用气合同书，询问安全常识</w:t>
            </w:r>
          </w:p>
        </w:tc>
        <w:tc>
          <w:tcPr>
            <w:tcW w:w="10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倒查企业台账，对照检查内容打√</w:t>
            </w:r>
          </w:p>
        </w:tc>
      </w:tr>
      <w:tr>
        <w:tblPrEx>
          <w:tblCellMar>
            <w:top w:w="0" w:type="dxa"/>
            <w:left w:w="0" w:type="dxa"/>
            <w:bottom w:w="0" w:type="dxa"/>
            <w:right w:w="0" w:type="dxa"/>
          </w:tblCellMar>
        </w:tblPrEx>
        <w:trPr>
          <w:trHeight w:val="90"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备注：除以上内容外，根据国家和省有关规定，其他需要检查的内容也一并检查并填报，加“★”黑体为重大（严重）隐患事项。</w:t>
            </w:r>
          </w:p>
        </w:tc>
      </w:tr>
    </w:tbl>
    <w:p>
      <w:pPr>
        <w:spacing w:line="0" w:lineRule="atLeast"/>
        <w:rPr>
          <w:color w:val="000000" w:themeColor="text1"/>
        </w:rPr>
        <w:sectPr>
          <w:pgSz w:w="16838" w:h="11906" w:orient="landscape"/>
          <w:pgMar w:top="1800" w:right="1440" w:bottom="1800" w:left="1440" w:header="851" w:footer="992" w:gutter="0"/>
          <w:cols w:space="720" w:num="1"/>
          <w:docGrid w:type="lines" w:linePitch="312" w:charSpace="0"/>
        </w:sectPr>
      </w:pPr>
    </w:p>
    <w:tbl>
      <w:tblPr>
        <w:tblStyle w:val="15"/>
        <w:tblW w:w="14020" w:type="dxa"/>
        <w:tblInd w:w="0" w:type="dxa"/>
        <w:tblLayout w:type="autofit"/>
        <w:tblCellMar>
          <w:top w:w="0" w:type="dxa"/>
          <w:left w:w="0" w:type="dxa"/>
          <w:bottom w:w="0" w:type="dxa"/>
          <w:right w:w="0" w:type="dxa"/>
        </w:tblCellMar>
      </w:tblPr>
      <w:tblGrid>
        <w:gridCol w:w="771"/>
        <w:gridCol w:w="4538"/>
        <w:gridCol w:w="3046"/>
        <w:gridCol w:w="1842"/>
        <w:gridCol w:w="1099"/>
        <w:gridCol w:w="1685"/>
        <w:gridCol w:w="1039"/>
      </w:tblGrid>
      <w:tr>
        <w:tblPrEx>
          <w:tblCellMar>
            <w:top w:w="0" w:type="dxa"/>
            <w:left w:w="0" w:type="dxa"/>
            <w:bottom w:w="0" w:type="dxa"/>
            <w:right w:w="0" w:type="dxa"/>
          </w:tblCellMar>
        </w:tblPrEx>
        <w:trPr>
          <w:trHeight w:val="471" w:hRule="atLeast"/>
        </w:trPr>
        <w:tc>
          <w:tcPr>
            <w:tcW w:w="1402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方正小标宋简体" w:hAnsi="方正小标宋简体" w:eastAsia="方正小标宋简体" w:cs="方正小标宋简体"/>
                <w:color w:val="000000" w:themeColor="text1"/>
                <w:sz w:val="36"/>
                <w:szCs w:val="36"/>
              </w:rPr>
            </w:pPr>
            <w:r>
              <w:rPr>
                <w:rFonts w:hint="eastAsia" w:ascii="方正小标宋简体" w:hAnsi="方正小标宋简体" w:eastAsia="方正小标宋简体" w:cs="方正小标宋简体"/>
                <w:color w:val="000000" w:themeColor="text1"/>
                <w:kern w:val="0"/>
                <w:sz w:val="36"/>
                <w:szCs w:val="36"/>
              </w:rPr>
              <w:t>管道天然气居民用户检查表</w:t>
            </w:r>
          </w:p>
        </w:tc>
      </w:tr>
      <w:tr>
        <w:tblPrEx>
          <w:tblCellMar>
            <w:top w:w="0" w:type="dxa"/>
            <w:left w:w="0" w:type="dxa"/>
            <w:bottom w:w="0" w:type="dxa"/>
            <w:right w:w="0" w:type="dxa"/>
          </w:tblCellMar>
        </w:tblPrEx>
        <w:trPr>
          <w:trHeight w:val="471"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32"/>
                <w:szCs w:val="32"/>
              </w:rPr>
            </w:pPr>
          </w:p>
        </w:tc>
      </w:tr>
      <w:tr>
        <w:tblPrEx>
          <w:tblCellMar>
            <w:top w:w="0" w:type="dxa"/>
            <w:left w:w="0" w:type="dxa"/>
            <w:bottom w:w="0" w:type="dxa"/>
            <w:right w:w="0" w:type="dxa"/>
          </w:tblCellMar>
        </w:tblPrEx>
        <w:trPr>
          <w:trHeight w:val="240"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 xml:space="preserve">地址:   用户姓名:  检查人员:   检查时间: </w:t>
            </w:r>
          </w:p>
        </w:tc>
      </w:tr>
      <w:tr>
        <w:tblPrEx>
          <w:tblCellMar>
            <w:top w:w="0" w:type="dxa"/>
            <w:left w:w="0" w:type="dxa"/>
            <w:bottom w:w="0" w:type="dxa"/>
            <w:right w:w="0" w:type="dxa"/>
          </w:tblCellMar>
        </w:tblPrEx>
        <w:trPr>
          <w:trHeight w:val="479"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序号</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检查内容</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检查依据或标准</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检查方法和要点</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18"/>
                <w:szCs w:val="18"/>
              </w:rPr>
              <w:t>合格打√，否打×</w:t>
            </w: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问题描述</w:t>
            </w: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备注</w:t>
            </w:r>
          </w:p>
        </w:tc>
      </w:tr>
      <w:tr>
        <w:tblPrEx>
          <w:tblCellMar>
            <w:top w:w="0" w:type="dxa"/>
            <w:left w:w="0" w:type="dxa"/>
            <w:bottom w:w="0" w:type="dxa"/>
            <w:right w:w="0" w:type="dxa"/>
          </w:tblCellMar>
        </w:tblPrEx>
        <w:trPr>
          <w:trHeight w:val="479"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★使用国家明令淘汰的燃气燃烧器具、连接管</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710"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★燃气引入管、立管、水平干管设置在卫生间内</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重大隐患标准、《燃气工程项目规范》第5.3.4条</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710"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★燃气管道及附件、燃具设置在卧室、旅馆建筑客房等人员居住和休息的房间内</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重大隐患标准、《燃气工程项目规范》第5.3.3条</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744"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w:t>
            </w:r>
            <w:r>
              <w:rPr>
                <w:rFonts w:hint="eastAsia" w:ascii="黑体" w:hAnsi="宋体" w:eastAsia="黑体" w:cs="黑体"/>
                <w:color w:val="000000" w:themeColor="text1"/>
                <w:kern w:val="0"/>
                <w:sz w:val="22"/>
                <w:szCs w:val="22"/>
              </w:rPr>
              <w:t>发现其他严重违反城镇燃气经营法律法规及标准规范，且存在危害程度较大、可能导致群死群伤或造成重大经济损失的现实危险</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744"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5</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全面消除地下室、半地下室、密闭空间、半密闭空间等不具备通风条件用气场所安全隐患，木质结构房屋一律不得使用燃气</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十条措施</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479"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6</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连接软管长度超过2米、私接“三通”或穿越墙体、门窗、顶棚和地面</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479"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7</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未规范安装、使用可燃气体探测器及燃气紧急切断阀</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710"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8</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18"/>
                <w:szCs w:val="18"/>
              </w:rPr>
              <w:t>春节前，所有用户在醒目位置张贴“安全用气提示贴”，用户加装、改动用气设施，应及时告知燃气企业</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710"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9</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使用不符合国家标准或假冒伪劣的可燃气体探测器及燃气紧急切断阀、调压器、连接软管、灶具等燃气具及配件等</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662" w:hRule="atLeast"/>
        </w:trPr>
        <w:tc>
          <w:tcPr>
            <w:tcW w:w="77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10</w:t>
            </w:r>
          </w:p>
        </w:tc>
        <w:tc>
          <w:tcPr>
            <w:tcW w:w="45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3月底前，全面完成既有管道天然气用户的橡胶软管更换工作，实现不合格软管清零</w:t>
            </w:r>
          </w:p>
        </w:tc>
        <w:tc>
          <w:tcPr>
            <w:tcW w:w="304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8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9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68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倒查企业台账，询问来源</w:t>
            </w:r>
          </w:p>
        </w:tc>
      </w:tr>
      <w:tr>
        <w:tblPrEx>
          <w:tblCellMar>
            <w:top w:w="0" w:type="dxa"/>
            <w:left w:w="0" w:type="dxa"/>
            <w:bottom w:w="0" w:type="dxa"/>
            <w:right w:w="0" w:type="dxa"/>
          </w:tblCellMar>
        </w:tblPrEx>
        <w:trPr>
          <w:trHeight w:val="240"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 xml:space="preserve">备注：除以上内容外，根据国家和省有关规定，其他需要检查的内容也一并检查并填报，加“★”黑体为重大（严重）隐患事项。 </w:t>
            </w:r>
          </w:p>
        </w:tc>
      </w:tr>
    </w:tbl>
    <w:p>
      <w:pPr>
        <w:spacing w:line="0" w:lineRule="atLeast"/>
        <w:rPr>
          <w:color w:val="000000" w:themeColor="text1"/>
        </w:rPr>
        <w:sectPr>
          <w:pgSz w:w="16838" w:h="11906" w:orient="landscape"/>
          <w:pgMar w:top="1800" w:right="1440" w:bottom="1800" w:left="1440" w:header="851" w:footer="992" w:gutter="0"/>
          <w:cols w:space="720" w:num="1"/>
          <w:docGrid w:type="lines" w:linePitch="312" w:charSpace="0"/>
        </w:sectPr>
      </w:pPr>
    </w:p>
    <w:tbl>
      <w:tblPr>
        <w:tblStyle w:val="15"/>
        <w:tblW w:w="13960" w:type="dxa"/>
        <w:tblInd w:w="0" w:type="dxa"/>
        <w:tblLayout w:type="autofit"/>
        <w:tblCellMar>
          <w:top w:w="0" w:type="dxa"/>
          <w:left w:w="0" w:type="dxa"/>
          <w:bottom w:w="0" w:type="dxa"/>
          <w:right w:w="0" w:type="dxa"/>
        </w:tblCellMar>
      </w:tblPr>
      <w:tblGrid>
        <w:gridCol w:w="768"/>
        <w:gridCol w:w="4740"/>
        <w:gridCol w:w="3177"/>
        <w:gridCol w:w="1822"/>
        <w:gridCol w:w="1014"/>
        <w:gridCol w:w="1406"/>
        <w:gridCol w:w="1033"/>
      </w:tblGrid>
      <w:tr>
        <w:tblPrEx>
          <w:tblCellMar>
            <w:top w:w="0" w:type="dxa"/>
            <w:left w:w="0" w:type="dxa"/>
            <w:bottom w:w="0" w:type="dxa"/>
            <w:right w:w="0" w:type="dxa"/>
          </w:tblCellMar>
        </w:tblPrEx>
        <w:trPr>
          <w:trHeight w:val="472" w:hRule="atLeast"/>
        </w:trPr>
        <w:tc>
          <w:tcPr>
            <w:tcW w:w="13960" w:type="dxa"/>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方正小标宋简体" w:hAnsi="方正小标宋简体" w:eastAsia="方正小标宋简体" w:cs="方正小标宋简体"/>
                <w:color w:val="000000" w:themeColor="text1"/>
                <w:sz w:val="36"/>
                <w:szCs w:val="36"/>
              </w:rPr>
            </w:pPr>
            <w:r>
              <w:rPr>
                <w:rFonts w:hint="eastAsia" w:ascii="方正小标宋简体" w:hAnsi="方正小标宋简体" w:eastAsia="方正小标宋简体" w:cs="方正小标宋简体"/>
                <w:color w:val="000000" w:themeColor="text1"/>
                <w:kern w:val="0"/>
                <w:sz w:val="36"/>
                <w:szCs w:val="36"/>
              </w:rPr>
              <w:t>瓶装液化石油气居民用户检查表</w:t>
            </w:r>
          </w:p>
        </w:tc>
      </w:tr>
      <w:tr>
        <w:tblPrEx>
          <w:tblCellMar>
            <w:top w:w="0" w:type="dxa"/>
            <w:left w:w="0" w:type="dxa"/>
            <w:bottom w:w="0" w:type="dxa"/>
            <w:right w:w="0" w:type="dxa"/>
          </w:tblCellMar>
        </w:tblPrEx>
        <w:trPr>
          <w:trHeight w:val="472"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32"/>
                <w:szCs w:val="32"/>
              </w:rPr>
            </w:pPr>
          </w:p>
        </w:tc>
      </w:tr>
      <w:tr>
        <w:tblPrEx>
          <w:tblCellMar>
            <w:top w:w="0" w:type="dxa"/>
            <w:left w:w="0" w:type="dxa"/>
            <w:bottom w:w="0" w:type="dxa"/>
            <w:right w:w="0" w:type="dxa"/>
          </w:tblCellMar>
        </w:tblPrEx>
        <w:trPr>
          <w:trHeight w:val="241"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 xml:space="preserve">地址: 用户姓名:   检查人员:   检查时间: </w:t>
            </w:r>
          </w:p>
        </w:tc>
      </w:tr>
      <w:tr>
        <w:tblPrEx>
          <w:tblCellMar>
            <w:top w:w="0" w:type="dxa"/>
            <w:left w:w="0" w:type="dxa"/>
            <w:bottom w:w="0" w:type="dxa"/>
            <w:right w:w="0" w:type="dxa"/>
          </w:tblCellMar>
        </w:tblPrEx>
        <w:trPr>
          <w:trHeight w:val="479"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序号</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检查内容</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检查依据或标准</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检查方法和要点</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18"/>
                <w:szCs w:val="18"/>
              </w:rPr>
              <w:t>合格打√，否打×</w:t>
            </w: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问题描述</w:t>
            </w: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备注</w:t>
            </w:r>
          </w:p>
        </w:tc>
      </w:tr>
      <w:tr>
        <w:tblPrEx>
          <w:tblCellMar>
            <w:top w:w="0" w:type="dxa"/>
            <w:left w:w="0" w:type="dxa"/>
            <w:bottom w:w="0" w:type="dxa"/>
            <w:right w:w="0" w:type="dxa"/>
          </w:tblCellMar>
        </w:tblPrEx>
        <w:trPr>
          <w:trHeight w:val="87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1</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★燃气相对密度大于等于0.75的燃气管道、调压装置和燃具等设置在地下室、半地下室、地下箱体及其他密闭地下空间内</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重大隐患标准、《燃气工程项目规范》第2.2.7条</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444"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2</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★使用国家明令淘汰的燃气燃烧器具、连接管</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657"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★燃气引入管、立管、水平干管设置在卫生间内</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重大隐患标准、《燃气工程项目规范》第5.3.4条</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657"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4</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★燃气管道及附件、燃具设置在卧室、旅馆建筑客房等人员居住和休息的房间内</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重大隐患标准、《燃气工程项目规范》第5.3.3条</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87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5</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黑体" w:hAnsi="宋体" w:eastAsia="黑体" w:cs="黑体"/>
                <w:color w:val="000000" w:themeColor="text1"/>
                <w:sz w:val="22"/>
                <w:szCs w:val="22"/>
              </w:rPr>
            </w:pPr>
            <w:r>
              <w:rPr>
                <w:rFonts w:hint="eastAsia" w:ascii="黑体" w:hAnsi="宋体" w:eastAsia="黑体" w:cs="黑体"/>
                <w:color w:val="000000" w:themeColor="text1"/>
                <w:kern w:val="0"/>
                <w:sz w:val="22"/>
                <w:szCs w:val="22"/>
              </w:rPr>
              <w:t>★发现其他严重违反城镇燃气经营法律法规及标准规范，且存在危害程度较大、可能导致群死群伤或造成重大经济损失的现实危险</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重大隐患标准</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抽查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479"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6</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连接软管长度超过2米、私接“三通”或穿越墙体、门窗、顶棚和地面的</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b/>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444"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7</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使用可调节出口压力的调压器</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省专项整治方案</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71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8</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0"/>
                <w:szCs w:val="20"/>
              </w:rPr>
              <w:t>春节前，所有用户在醒目位置张贴“安全用气提示贴”，用户加装、改动用气设施，应及时告知燃气企业</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left"/>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87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9</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使用不符合国家标准或假冒伪劣的液化石油气瓶、可燃气体探测器及燃气紧急切断阀、调压器、连接软管、灶具等燃气具及配件等</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省专项整治方案</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现场检查，一瓶一码扫描</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倒查企业台账，询问来源</w:t>
            </w:r>
          </w:p>
        </w:tc>
      </w:tr>
      <w:tr>
        <w:tblPrEx>
          <w:tblCellMar>
            <w:top w:w="0" w:type="dxa"/>
            <w:left w:w="0" w:type="dxa"/>
            <w:bottom w:w="0" w:type="dxa"/>
            <w:right w:w="0" w:type="dxa"/>
          </w:tblCellMar>
        </w:tblPrEx>
        <w:trPr>
          <w:trHeight w:val="87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10</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送气到户同步实施安检服务,发现用户存在使用问题气、问题瓶、可调式减压阀、不合格软管和灶具及其它安全隐患的,应及时报告行业主管部门,由行业主管部门(或移交有执法权限相关部门)要求限期整改,拒不整改的燃气企业应暂停供气,同时报告燃气管理部门,通报质量监管部门</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十条措施</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扫描瓶体二维码、查询是否供气企业送气，现场查看使用环境</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倒查企业台账，询问来源</w:t>
            </w:r>
          </w:p>
        </w:tc>
      </w:tr>
      <w:tr>
        <w:tblPrEx>
          <w:tblCellMar>
            <w:top w:w="0" w:type="dxa"/>
            <w:left w:w="0" w:type="dxa"/>
            <w:bottom w:w="0" w:type="dxa"/>
            <w:right w:w="0" w:type="dxa"/>
          </w:tblCellMar>
        </w:tblPrEx>
        <w:trPr>
          <w:trHeight w:val="870"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11</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春节前，所有液化石油气经营企业实现统一配送到户，并对使用环境进行安全检查</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回头看方案</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扫描瓶体二维码、现场抽查使用环境，检查企业是否进行入户安检</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kern w:val="0"/>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倒查企业台账，询问是否自提</w:t>
            </w:r>
          </w:p>
        </w:tc>
      </w:tr>
      <w:tr>
        <w:tblPrEx>
          <w:tblCellMar>
            <w:top w:w="0" w:type="dxa"/>
            <w:left w:w="0" w:type="dxa"/>
            <w:bottom w:w="0" w:type="dxa"/>
            <w:right w:w="0" w:type="dxa"/>
          </w:tblCellMar>
        </w:tblPrEx>
        <w:trPr>
          <w:trHeight w:val="657" w:hRule="atLeast"/>
        </w:trPr>
        <w:tc>
          <w:tcPr>
            <w:tcW w:w="76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center"/>
              <w:textAlignment w:val="center"/>
              <w:rPr>
                <w:rFonts w:ascii="仿宋_GB2312" w:hAnsi="宋体" w:eastAsia="仿宋_GB2312" w:cs="仿宋_GB2312"/>
                <w:color w:val="000000" w:themeColor="text1"/>
                <w:kern w:val="0"/>
                <w:sz w:val="22"/>
                <w:szCs w:val="22"/>
              </w:rPr>
            </w:pPr>
            <w:r>
              <w:rPr>
                <w:rFonts w:hint="eastAsia" w:ascii="仿宋_GB2312" w:hAnsi="宋体" w:eastAsia="仿宋_GB2312" w:cs="仿宋_GB2312"/>
                <w:color w:val="000000" w:themeColor="text1"/>
                <w:kern w:val="0"/>
                <w:sz w:val="22"/>
                <w:szCs w:val="22"/>
              </w:rPr>
              <w:t>12</w:t>
            </w:r>
          </w:p>
        </w:tc>
        <w:tc>
          <w:tcPr>
            <w:tcW w:w="4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3月底前，全面完成既有瓶装液化气用户的橡胶软管更换工作</w:t>
            </w:r>
          </w:p>
        </w:tc>
        <w:tc>
          <w:tcPr>
            <w:tcW w:w="317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回头看方案</w:t>
            </w:r>
          </w:p>
        </w:tc>
        <w:tc>
          <w:tcPr>
            <w:tcW w:w="182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0" w:lineRule="atLeast"/>
              <w:jc w:val="lef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现场检查</w:t>
            </w:r>
          </w:p>
        </w:tc>
        <w:tc>
          <w:tcPr>
            <w:tcW w:w="101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40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p>
        </w:tc>
        <w:tc>
          <w:tcPr>
            <w:tcW w:w="103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0" w:lineRule="atLeast"/>
              <w:jc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倒查企业台账</w:t>
            </w:r>
          </w:p>
        </w:tc>
      </w:tr>
      <w:tr>
        <w:tblPrEx>
          <w:tblCellMar>
            <w:top w:w="0" w:type="dxa"/>
            <w:left w:w="0" w:type="dxa"/>
            <w:bottom w:w="0" w:type="dxa"/>
            <w:right w:w="0" w:type="dxa"/>
          </w:tblCellMar>
        </w:tblPrEx>
        <w:trPr>
          <w:trHeight w:val="241" w:hRule="atLeast"/>
        </w:trPr>
        <w:tc>
          <w:tcPr>
            <w:tcW w:w="0" w:type="auto"/>
            <w:gridSpan w:val="7"/>
            <w:tcBorders>
              <w:top w:val="nil"/>
              <w:left w:val="nil"/>
              <w:bottom w:val="nil"/>
              <w:right w:val="nil"/>
            </w:tcBorders>
            <w:noWrap/>
            <w:tcMar>
              <w:top w:w="12" w:type="dxa"/>
              <w:left w:w="12" w:type="dxa"/>
              <w:right w:w="12" w:type="dxa"/>
            </w:tcMar>
            <w:vAlign w:val="center"/>
          </w:tcPr>
          <w:p>
            <w:pPr>
              <w:widowControl/>
              <w:spacing w:line="0" w:lineRule="atLeast"/>
              <w:textAlignment w:val="center"/>
              <w:rPr>
                <w:rFonts w:ascii="仿宋_GB2312" w:hAnsi="宋体" w:eastAsia="仿宋_GB2312" w:cs="仿宋_GB2312"/>
                <w:color w:val="000000" w:themeColor="text1"/>
                <w:sz w:val="22"/>
                <w:szCs w:val="22"/>
              </w:rPr>
            </w:pPr>
            <w:r>
              <w:rPr>
                <w:rFonts w:hint="eastAsia" w:ascii="仿宋_GB2312" w:hAnsi="宋体" w:eastAsia="仿宋_GB2312" w:cs="仿宋_GB2312"/>
                <w:color w:val="000000" w:themeColor="text1"/>
                <w:kern w:val="0"/>
                <w:sz w:val="22"/>
                <w:szCs w:val="22"/>
              </w:rPr>
              <w:t>备注：除以上内容外，根据国家和省有关规定，其他需要检查的内容也一并检查并填报，加“★”黑体为重大（严重）隐患事项。</w:t>
            </w:r>
          </w:p>
        </w:tc>
      </w:tr>
    </w:tbl>
    <w:p>
      <w:pPr>
        <w:spacing w:line="578" w:lineRule="exact"/>
        <w:rPr>
          <w:rFonts w:ascii="黑体" w:hAnsi="黑体" w:eastAsia="黑体" w:cs="黑体"/>
          <w:color w:val="000000" w:themeColor="text1"/>
          <w:sz w:val="32"/>
          <w:szCs w:val="32"/>
        </w:rPr>
        <w:sectPr>
          <w:headerReference r:id="rId9" w:type="default"/>
          <w:footerReference r:id="rId10" w:type="default"/>
          <w:pgSz w:w="16838" w:h="11906" w:orient="landscape"/>
          <w:pgMar w:top="1542" w:right="1440" w:bottom="1542" w:left="1440" w:header="851" w:footer="851" w:gutter="0"/>
          <w:cols w:space="0" w:num="1"/>
          <w:docGrid w:type="linesAndChars" w:linePitch="312" w:charSpace="0"/>
        </w:sectPr>
      </w:pPr>
    </w:p>
    <w:p>
      <w:pPr>
        <w:pStyle w:val="28"/>
        <w:rPr>
          <w:color w:val="000000" w:themeColor="text1"/>
        </w:rPr>
      </w:pPr>
    </w:p>
    <w:p>
      <w:pPr>
        <w:spacing w:line="630" w:lineRule="exact"/>
        <w:jc w:val="center"/>
        <w:outlineLvl w:val="1"/>
        <w:rPr>
          <w:rFonts w:ascii="黑体" w:hAnsi="黑体" w:eastAsia="黑体" w:cs="黑体"/>
          <w:color w:val="000000" w:themeColor="text1"/>
          <w:sz w:val="32"/>
          <w:szCs w:val="32"/>
        </w:rPr>
      </w:pPr>
      <w:bookmarkStart w:id="20" w:name="_Toc5845"/>
      <w:r>
        <w:rPr>
          <w:rFonts w:hint="eastAsia" w:ascii="黑体" w:hAnsi="黑体" w:eastAsia="黑体" w:cs="黑体"/>
          <w:color w:val="000000" w:themeColor="text1"/>
          <w:sz w:val="32"/>
          <w:szCs w:val="32"/>
        </w:rPr>
        <w:t>（二）房屋市政工程施工方面</w:t>
      </w:r>
      <w:bookmarkEnd w:id="20"/>
    </w:p>
    <w:p>
      <w:pPr>
        <w:spacing w:line="578" w:lineRule="exact"/>
        <w:ind w:firstLine="640" w:firstLineChars="200"/>
        <w:rPr>
          <w:rFonts w:ascii="楷体_GB2312" w:hAnsi="楷体_GB2312" w:eastAsia="楷体_GB2312" w:cs="楷体_GB2312"/>
          <w:color w:val="000000" w:themeColor="text1"/>
          <w:sz w:val="32"/>
          <w:szCs w:val="32"/>
        </w:rPr>
      </w:pP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一、重点帮扶内容</w:t>
      </w:r>
    </w:p>
    <w:p>
      <w:pPr>
        <w:spacing w:line="578"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（一）主管部门</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1.主管部门贯彻落实全国、全省安全生产会议精神情况；</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2.落实国务院安全生产十五条硬措施、省委省政府“八抓20条”创新措施、企业（项目）分类分级监管、危大工程管控、安全总监、安全日志、班前晨会、举报奖励等情况；</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3.生产安全事故处理处罚、警示教育情况，项目检查、事故隐患排查整改、事故调查报告、处罚信息上传全国工程质量安全信息监管平台情况；</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4.“开工第一课”活动开展情况，“六个不许开工”落实情况（未履行建设程序、未纳入系统监管、关键岗位人员未到岗履职、安全条件不达标、教育培训不到位、扬尘治理“六个百分百”不落实）。</w:t>
      </w:r>
    </w:p>
    <w:p>
      <w:pPr>
        <w:spacing w:line="578"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（二）施工项目</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施工现场消防安全：对正常施工项目，临时消防设施与在建工程的施工是否同步设置，动火作业是否进行审批和监护，仓库、办公区、生活区防火措施是否落实，工地食堂的液化气使用是否安全；对停工项目，机具设备、闸电设施是否处于安全状态，重点防火部位或区域是否设置防火警示标识，是否严禁闲杂人员随意进场，是否安排专人值班、巡检；对停工整改项目，是否落实每日巡查、每日报告，发现问题及时处置，是否真正停工、是否已落实整改措施；</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2.检查正常施工项目关键岗位人员是否在岗履职，危大工程管控是否到位，防高坠、坍塌、起重伤害、触电、中毒窒息事故安全措施是否落实；</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3.对日常巡检发现的安全隐患，是否已建立台账、逐条整改销号，处理处罚到位；</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4.是否能实现视频汇聚；</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二、检查方式</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采取听取汇报、现场问询、查阅资料、明查暗访等方式进行。每市从县（市、区）和功能区中抽查2个区域，每个区域至少查2个项目（4个项目中至少暗访1个项目），覆盖在建和停工项目。工程项目可从市主管部门台账随机抽取或扫马路方式确定，采取“四不两直”方式检查。</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三、下达问题整改通知书标准</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对施工现场存在安全隐患较多，特别是存在违反危大工程部令、可能导致故事故发生的重大安全隐患的工程项目，下达整改通知书。</w:t>
      </w:r>
    </w:p>
    <w:p>
      <w:pPr>
        <w:pStyle w:val="12"/>
        <w:rPr>
          <w:rFonts w:ascii="黑体" w:hAnsi="黑体" w:eastAsia="黑体" w:cs="黑体"/>
          <w:color w:val="000000" w:themeColor="text1"/>
        </w:rPr>
      </w:pPr>
      <w:r>
        <w:rPr>
          <w:rFonts w:hint="eastAsia" w:ascii="黑体" w:hAnsi="黑体" w:eastAsia="黑体" w:cs="黑体"/>
          <w:color w:val="000000" w:themeColor="text1"/>
          <w:sz w:val="32"/>
          <w:szCs w:val="32"/>
        </w:rPr>
        <w:t>联络员：张建  18866103808</w:t>
      </w:r>
    </w:p>
    <w:p>
      <w:pPr>
        <w:spacing w:line="578" w:lineRule="exact"/>
        <w:ind w:firstLine="640" w:firstLineChars="200"/>
        <w:rPr>
          <w:rFonts w:ascii="黑体" w:hAnsi="黑体" w:eastAsia="黑体" w:cs="黑体"/>
          <w:color w:val="000000" w:themeColor="text1"/>
          <w:sz w:val="32"/>
          <w:szCs w:val="32"/>
        </w:rPr>
        <w:sectPr>
          <w:pgSz w:w="11906" w:h="16838"/>
          <w:pgMar w:top="1440" w:right="1542" w:bottom="1440" w:left="1542" w:header="851" w:footer="851" w:gutter="0"/>
          <w:cols w:space="0" w:num="1"/>
          <w:docGrid w:type="linesAndChars" w:linePitch="312" w:charSpace="0"/>
        </w:sectPr>
      </w:pPr>
    </w:p>
    <w:p>
      <w:pPr>
        <w:spacing w:line="578" w:lineRule="exact"/>
        <w:jc w:val="center"/>
        <w:rPr>
          <w:rFonts w:ascii="方正小标宋简体" w:eastAsia="方正小标宋简体"/>
          <w:color w:val="000000" w:themeColor="text1"/>
          <w:sz w:val="44"/>
        </w:rPr>
      </w:pPr>
    </w:p>
    <w:p>
      <w:pPr>
        <w:spacing w:line="578" w:lineRule="exact"/>
        <w:jc w:val="center"/>
        <w:rPr>
          <w:rFonts w:ascii="方正小标宋简体" w:eastAsia="方正小标宋简体"/>
          <w:color w:val="000000" w:themeColor="text1"/>
          <w:sz w:val="36"/>
        </w:rPr>
      </w:pPr>
      <w:r>
        <w:rPr>
          <w:rFonts w:hint="eastAsia" w:ascii="方正小标宋简体" w:eastAsia="方正小标宋简体"/>
          <w:color w:val="000000" w:themeColor="text1"/>
          <w:sz w:val="44"/>
        </w:rPr>
        <w:t>市级主管部门工作落实情况表</w:t>
      </w:r>
    </w:p>
    <w:p>
      <w:pPr>
        <w:spacing w:line="600" w:lineRule="exact"/>
        <w:jc w:val="center"/>
        <w:rPr>
          <w:color w:val="000000" w:themeColor="text1"/>
          <w:sz w:val="36"/>
        </w:rPr>
      </w:pPr>
      <w:r>
        <w:rPr>
          <w:rFonts w:hint="eastAsia"/>
          <w:color w:val="000000" w:themeColor="text1"/>
          <w:sz w:val="24"/>
        </w:rPr>
        <w:t>地市：                                                                               日期：     年   月   日</w:t>
      </w:r>
    </w:p>
    <w:tbl>
      <w:tblPr>
        <w:tblStyle w:val="15"/>
        <w:tblW w:w="13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3865"/>
        <w:gridCol w:w="5558"/>
        <w:gridCol w:w="1603"/>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exact"/>
          <w:jc w:val="center"/>
        </w:trPr>
        <w:tc>
          <w:tcPr>
            <w:tcW w:w="835" w:type="dxa"/>
            <w:vAlign w:val="center"/>
          </w:tcPr>
          <w:p>
            <w:pPr>
              <w:spacing w:line="320" w:lineRule="exact"/>
              <w:jc w:val="center"/>
              <w:rPr>
                <w:rFonts w:ascii="黑体" w:hAnsi="黑体" w:eastAsia="黑体" w:cs="黑体"/>
                <w:b/>
                <w:bCs/>
                <w:color w:val="000000" w:themeColor="text1"/>
                <w:sz w:val="24"/>
              </w:rPr>
            </w:pPr>
            <w:r>
              <w:rPr>
                <w:rFonts w:hint="eastAsia" w:ascii="黑体" w:hAnsi="黑体" w:eastAsia="黑体" w:cs="黑体"/>
                <w:color w:val="000000" w:themeColor="text1"/>
                <w:sz w:val="24"/>
              </w:rPr>
              <w:t>序号</w:t>
            </w:r>
          </w:p>
        </w:tc>
        <w:tc>
          <w:tcPr>
            <w:tcW w:w="3865" w:type="dxa"/>
            <w:vAlign w:val="center"/>
          </w:tcPr>
          <w:p>
            <w:pPr>
              <w:spacing w:line="400" w:lineRule="exact"/>
              <w:jc w:val="center"/>
              <w:rPr>
                <w:rFonts w:ascii="黑体" w:hAnsi="黑体" w:eastAsia="黑体" w:cs="黑体"/>
                <w:b/>
                <w:bCs/>
                <w:color w:val="000000" w:themeColor="text1"/>
                <w:sz w:val="24"/>
              </w:rPr>
            </w:pPr>
            <w:r>
              <w:rPr>
                <w:rFonts w:hint="eastAsia" w:ascii="黑体" w:hAnsi="黑体" w:eastAsia="黑体" w:cs="黑体"/>
                <w:color w:val="000000" w:themeColor="text1"/>
                <w:sz w:val="24"/>
              </w:rPr>
              <w:t>检 查 内 容</w:t>
            </w:r>
          </w:p>
        </w:tc>
        <w:tc>
          <w:tcPr>
            <w:tcW w:w="5558" w:type="dxa"/>
            <w:vAlign w:val="center"/>
          </w:tcPr>
          <w:p>
            <w:pPr>
              <w:spacing w:line="400" w:lineRule="exact"/>
              <w:jc w:val="center"/>
              <w:rPr>
                <w:rFonts w:ascii="黑体" w:hAnsi="黑体" w:eastAsia="黑体" w:cs="黑体"/>
                <w:b/>
                <w:bCs/>
                <w:color w:val="000000" w:themeColor="text1"/>
                <w:sz w:val="24"/>
              </w:rPr>
            </w:pPr>
            <w:r>
              <w:rPr>
                <w:rFonts w:hint="eastAsia" w:ascii="黑体" w:hAnsi="黑体" w:eastAsia="黑体" w:cs="黑体"/>
                <w:color w:val="000000" w:themeColor="text1"/>
                <w:sz w:val="24"/>
              </w:rPr>
              <w:t>检查标准</w:t>
            </w:r>
          </w:p>
        </w:tc>
        <w:tc>
          <w:tcPr>
            <w:tcW w:w="1603" w:type="dxa"/>
            <w:vAlign w:val="center"/>
          </w:tcPr>
          <w:p>
            <w:pPr>
              <w:spacing w:line="40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落实情况</w:t>
            </w:r>
          </w:p>
        </w:tc>
        <w:tc>
          <w:tcPr>
            <w:tcW w:w="1964" w:type="dxa"/>
            <w:vAlign w:val="center"/>
          </w:tcPr>
          <w:p>
            <w:pPr>
              <w:spacing w:line="40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2" w:hRule="exac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1</w:t>
            </w:r>
          </w:p>
        </w:tc>
        <w:tc>
          <w:tcPr>
            <w:tcW w:w="3865" w:type="dxa"/>
            <w:vAlign w:val="center"/>
          </w:tcPr>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贯彻落实全国、全省有关会议精神情况。</w:t>
            </w:r>
          </w:p>
        </w:tc>
        <w:tc>
          <w:tcPr>
            <w:tcW w:w="5558" w:type="dxa"/>
            <w:vAlign w:val="center"/>
          </w:tcPr>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是否通过会议、文件、专项行动等形式及时传达贯彻全国（1月26日国务院全国安全生产电视电话会议、1月23日住建部安全生产工作视频调度会议）、全省（1月23日全省安全生产工作专题会议）会议精神。</w:t>
            </w:r>
          </w:p>
        </w:tc>
        <w:tc>
          <w:tcPr>
            <w:tcW w:w="1603"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□未落实到位</w:t>
            </w:r>
          </w:p>
        </w:tc>
        <w:tc>
          <w:tcPr>
            <w:tcW w:w="1964" w:type="dxa"/>
            <w:vAlign w:val="center"/>
          </w:tcPr>
          <w:p>
            <w:pPr>
              <w:spacing w:line="300" w:lineRule="exact"/>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3" w:hRule="exac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2</w:t>
            </w:r>
          </w:p>
        </w:tc>
        <w:tc>
          <w:tcPr>
            <w:tcW w:w="3865" w:type="dxa"/>
            <w:vAlign w:val="center"/>
          </w:tcPr>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部署开展重大事故隐患、预防高处坠落、有限空间作业、加强关键岗位人员管理等专项整治行动情况。</w:t>
            </w:r>
          </w:p>
        </w:tc>
        <w:tc>
          <w:tcPr>
            <w:tcW w:w="5558" w:type="dxa"/>
            <w:vAlign w:val="center"/>
          </w:tcPr>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是否组织开展展重大事故隐患、预防高处坠落、有限空间作业、加强关键岗位人员管理等专项整治行动，是否对所辖县（市、区）进行抽查检查，并建立隐患排查台账，限期整改闭环销号。</w:t>
            </w:r>
          </w:p>
        </w:tc>
        <w:tc>
          <w:tcPr>
            <w:tcW w:w="1603"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□未落实到位</w:t>
            </w:r>
          </w:p>
        </w:tc>
        <w:tc>
          <w:tcPr>
            <w:tcW w:w="1964" w:type="dxa"/>
            <w:vAlign w:val="center"/>
          </w:tcPr>
          <w:p>
            <w:pPr>
              <w:spacing w:line="300" w:lineRule="exact"/>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0" w:hRule="exac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3</w:t>
            </w:r>
          </w:p>
        </w:tc>
        <w:tc>
          <w:tcPr>
            <w:tcW w:w="3865" w:type="dxa"/>
            <w:vAlign w:val="center"/>
          </w:tcPr>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贯彻落实企业（项目）分类分级监管、危大工程管控、安全总监等情况。</w:t>
            </w:r>
          </w:p>
        </w:tc>
        <w:tc>
          <w:tcPr>
            <w:tcW w:w="5558" w:type="dxa"/>
            <w:vAlign w:val="center"/>
          </w:tcPr>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是否建立企业（项目）分类分级监管、危大工程管控、安全总监、安全日志、班前晨会、举报奖励等制度，是否对本市辖区内企业项目建立分类分级监管台账并开展分类分级监管。</w:t>
            </w:r>
          </w:p>
        </w:tc>
        <w:tc>
          <w:tcPr>
            <w:tcW w:w="1603"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964" w:type="dxa"/>
            <w:vAlign w:val="center"/>
          </w:tcPr>
          <w:p>
            <w:pPr>
              <w:spacing w:line="300" w:lineRule="exact"/>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exac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4</w:t>
            </w:r>
          </w:p>
        </w:tc>
        <w:tc>
          <w:tcPr>
            <w:tcW w:w="3865" w:type="dxa"/>
            <w:vAlign w:val="center"/>
          </w:tcPr>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部署开展直接监管项目的安全生产检查情况。</w:t>
            </w:r>
          </w:p>
        </w:tc>
        <w:tc>
          <w:tcPr>
            <w:tcW w:w="5558" w:type="dxa"/>
            <w:vAlign w:val="center"/>
          </w:tcPr>
          <w:p>
            <w:pPr>
              <w:spacing w:line="30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是否对直接监管项目进行安全生产检查，并建立检查台账，限期整改闭环销号。</w:t>
            </w:r>
          </w:p>
        </w:tc>
        <w:tc>
          <w:tcPr>
            <w:tcW w:w="1603"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964" w:type="dxa"/>
            <w:vAlign w:val="center"/>
          </w:tcPr>
          <w:p>
            <w:pPr>
              <w:spacing w:line="300" w:lineRule="exact"/>
              <w:rPr>
                <w:rFonts w:ascii="仿宋_GB2312" w:hAnsi="仿宋_GB2312" w:eastAsia="仿宋_GB2312" w:cs="仿宋_GB2312"/>
                <w:color w:val="000000" w:themeColor="text1"/>
                <w:sz w:val="22"/>
                <w:szCs w:val="22"/>
              </w:rPr>
            </w:pPr>
          </w:p>
        </w:tc>
      </w:tr>
    </w:tbl>
    <w:p>
      <w:pPr>
        <w:spacing w:line="400" w:lineRule="exact"/>
        <w:rPr>
          <w:rFonts w:ascii="仿宋_GB2312" w:hAnsi="仿宋_GB2312" w:eastAsia="仿宋_GB2312" w:cs="仿宋_GB2312"/>
          <w:color w:val="000000" w:themeColor="text1"/>
          <w:sz w:val="22"/>
          <w:szCs w:val="22"/>
        </w:rPr>
      </w:pPr>
      <w:r>
        <w:rPr>
          <w:rFonts w:hint="eastAsia"/>
          <w:color w:val="000000" w:themeColor="text1"/>
          <w:sz w:val="24"/>
        </w:rPr>
        <w:t>检查组签字：                               市级住建部门负责人签字：</w:t>
      </w:r>
    </w:p>
    <w:p>
      <w:pPr>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br w:type="page"/>
      </w:r>
    </w:p>
    <w:p>
      <w:pPr>
        <w:spacing w:line="578" w:lineRule="exact"/>
        <w:rPr>
          <w:rFonts w:ascii="黑体" w:hAnsi="黑体" w:eastAsia="黑体" w:cs="黑体"/>
          <w:color w:val="000000" w:themeColor="text1"/>
          <w:sz w:val="32"/>
          <w:szCs w:val="32"/>
        </w:rPr>
        <w:sectPr>
          <w:pgSz w:w="16838" w:h="11906" w:orient="landscape"/>
          <w:pgMar w:top="1440" w:right="1800" w:bottom="1440" w:left="1800" w:header="851" w:footer="992" w:gutter="0"/>
          <w:cols w:space="425" w:num="1"/>
          <w:docGrid w:type="lines" w:linePitch="312" w:charSpace="0"/>
        </w:sectPr>
      </w:pPr>
    </w:p>
    <w:tbl>
      <w:tblPr>
        <w:tblStyle w:val="15"/>
        <w:tblW w:w="9061" w:type="dxa"/>
        <w:jc w:val="center"/>
        <w:tblLayout w:type="fixed"/>
        <w:tblCellMar>
          <w:top w:w="0" w:type="dxa"/>
          <w:left w:w="108" w:type="dxa"/>
          <w:bottom w:w="0" w:type="dxa"/>
          <w:right w:w="108" w:type="dxa"/>
        </w:tblCellMar>
      </w:tblPr>
      <w:tblGrid>
        <w:gridCol w:w="2093"/>
        <w:gridCol w:w="2260"/>
        <w:gridCol w:w="2354"/>
        <w:gridCol w:w="2354"/>
      </w:tblGrid>
      <w:tr>
        <w:tblPrEx>
          <w:tblCellMar>
            <w:top w:w="0" w:type="dxa"/>
            <w:left w:w="108" w:type="dxa"/>
            <w:bottom w:w="0" w:type="dxa"/>
            <w:right w:w="108" w:type="dxa"/>
          </w:tblCellMar>
        </w:tblPrEx>
        <w:trPr>
          <w:trHeight w:val="878" w:hRule="atLeast"/>
          <w:jc w:val="center"/>
        </w:trPr>
        <w:tc>
          <w:tcPr>
            <w:tcW w:w="9061" w:type="dxa"/>
            <w:gridSpan w:val="4"/>
            <w:tcBorders>
              <w:top w:val="nil"/>
              <w:left w:val="nil"/>
              <w:bottom w:val="nil"/>
              <w:right w:val="nil"/>
            </w:tcBorders>
            <w:vAlign w:val="center"/>
          </w:tcPr>
          <w:p>
            <w:pPr>
              <w:widowControl/>
              <w:jc w:val="center"/>
              <w:textAlignment w:val="center"/>
              <w:rPr>
                <w:rFonts w:ascii="方正小标宋简体" w:hAnsi="方正小标宋简体" w:eastAsia="方正小标宋简体" w:cs="方正小标宋简体"/>
                <w:bCs/>
                <w:color w:val="000000" w:themeColor="text1"/>
                <w:kern w:val="0"/>
                <w:sz w:val="44"/>
                <w:szCs w:val="44"/>
              </w:rPr>
            </w:pPr>
          </w:p>
          <w:p>
            <w:pPr>
              <w:widowControl/>
              <w:jc w:val="center"/>
              <w:textAlignment w:val="center"/>
              <w:rPr>
                <w:rFonts w:ascii="黑体" w:hAnsi="宋体" w:eastAsia="华文中宋" w:cs="黑体"/>
                <w:color w:val="000000" w:themeColor="text1"/>
              </w:rPr>
            </w:pPr>
            <w:r>
              <w:rPr>
                <w:rFonts w:hint="eastAsia" w:ascii="方正小标宋简体" w:hAnsi="方正小标宋简体" w:eastAsia="方正小标宋简体" w:cs="方正小标宋简体"/>
                <w:bCs/>
                <w:color w:val="000000" w:themeColor="text1"/>
                <w:kern w:val="0"/>
                <w:sz w:val="44"/>
                <w:szCs w:val="44"/>
              </w:rPr>
              <w:t>受检工程基本情况表</w:t>
            </w:r>
          </w:p>
        </w:tc>
      </w:tr>
      <w:tr>
        <w:tblPrEx>
          <w:tblCellMar>
            <w:top w:w="0" w:type="dxa"/>
            <w:left w:w="108" w:type="dxa"/>
            <w:bottom w:w="0" w:type="dxa"/>
            <w:right w:w="108" w:type="dxa"/>
          </w:tblCellMar>
        </w:tblPrEx>
        <w:trPr>
          <w:trHeight w:val="340" w:hRule="atLeast"/>
          <w:jc w:val="center"/>
        </w:trPr>
        <w:tc>
          <w:tcPr>
            <w:tcW w:w="9061" w:type="dxa"/>
            <w:gridSpan w:val="4"/>
            <w:tcBorders>
              <w:top w:val="nil"/>
              <w:left w:val="nil"/>
              <w:bottom w:val="single" w:color="000000" w:sz="4" w:space="0"/>
              <w:right w:val="nil"/>
            </w:tcBorders>
            <w:vAlign w:val="center"/>
          </w:tcPr>
          <w:p>
            <w:pPr>
              <w:widowControl/>
              <w:jc w:val="left"/>
              <w:textAlignment w:val="center"/>
              <w:rPr>
                <w:rFonts w:ascii="仿宋" w:hAnsi="仿宋" w:eastAsia="仿宋" w:cs="仿宋"/>
                <w:color w:val="000000" w:themeColor="text1"/>
                <w:sz w:val="20"/>
                <w:szCs w:val="20"/>
              </w:rPr>
            </w:pPr>
            <w:r>
              <w:rPr>
                <w:rFonts w:hint="eastAsia"/>
                <w:color w:val="000000" w:themeColor="text1"/>
                <w:sz w:val="24"/>
              </w:rPr>
              <w:t>受检工程所在市、县（市、区）：</w:t>
            </w:r>
          </w:p>
        </w:tc>
      </w:tr>
      <w:tr>
        <w:tblPrEx>
          <w:tblCellMar>
            <w:top w:w="0" w:type="dxa"/>
            <w:left w:w="108" w:type="dxa"/>
            <w:bottom w:w="0" w:type="dxa"/>
            <w:right w:w="108" w:type="dxa"/>
          </w:tblCellMar>
        </w:tblPrEx>
        <w:trPr>
          <w:trHeight w:val="397" w:hRule="atLeast"/>
          <w:jc w:val="center"/>
        </w:trPr>
        <w:tc>
          <w:tcPr>
            <w:tcW w:w="906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受检工程名称：</w:t>
            </w:r>
          </w:p>
        </w:tc>
      </w:tr>
      <w:tr>
        <w:tblPrEx>
          <w:tblCellMar>
            <w:top w:w="0" w:type="dxa"/>
            <w:left w:w="108" w:type="dxa"/>
            <w:bottom w:w="0" w:type="dxa"/>
            <w:right w:w="108" w:type="dxa"/>
          </w:tblCellMar>
        </w:tblPrEx>
        <w:trPr>
          <w:trHeight w:val="90" w:hRule="atLeast"/>
          <w:jc w:val="center"/>
        </w:trPr>
        <w:tc>
          <w:tcPr>
            <w:tcW w:w="9061" w:type="dxa"/>
            <w:gridSpan w:val="4"/>
            <w:tcBorders>
              <w:top w:val="single" w:color="000000" w:sz="4" w:space="0"/>
              <w:left w:val="single" w:color="000000" w:sz="4" w:space="0"/>
              <w:bottom w:val="nil"/>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受检工程地址：</w:t>
            </w:r>
          </w:p>
        </w:tc>
      </w:tr>
      <w:tr>
        <w:tblPrEx>
          <w:tblCellMar>
            <w:top w:w="0" w:type="dxa"/>
            <w:left w:w="108" w:type="dxa"/>
            <w:bottom w:w="0" w:type="dxa"/>
            <w:right w:w="108" w:type="dxa"/>
          </w:tblCellMar>
        </w:tblPrEx>
        <w:trPr>
          <w:trHeight w:val="397" w:hRule="atLeast"/>
          <w:jc w:val="center"/>
        </w:trPr>
        <w:tc>
          <w:tcPr>
            <w:tcW w:w="906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施工许可证号：</w:t>
            </w:r>
          </w:p>
        </w:tc>
      </w:tr>
      <w:tr>
        <w:tblPrEx>
          <w:tblCellMar>
            <w:top w:w="0" w:type="dxa"/>
            <w:left w:w="108" w:type="dxa"/>
            <w:bottom w:w="0" w:type="dxa"/>
            <w:right w:w="108" w:type="dxa"/>
          </w:tblCellMar>
        </w:tblPrEx>
        <w:trPr>
          <w:trHeight w:val="397" w:hRule="atLeast"/>
          <w:jc w:val="center"/>
        </w:trPr>
        <w:tc>
          <w:tcPr>
            <w:tcW w:w="2093" w:type="dxa"/>
            <w:tcBorders>
              <w:top w:val="nil"/>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建筑面积：</w:t>
            </w:r>
          </w:p>
        </w:tc>
        <w:tc>
          <w:tcPr>
            <w:tcW w:w="2260" w:type="dxa"/>
            <w:tcBorders>
              <w:top w:val="nil"/>
              <w:left w:val="nil"/>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4708" w:type="dxa"/>
            <w:gridSpan w:val="2"/>
            <w:tcBorders>
              <w:top w:val="nil"/>
              <w:left w:val="nil"/>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合同造价：</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nil"/>
              <w:right w:val="nil"/>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形象进度：</w:t>
            </w:r>
          </w:p>
        </w:tc>
        <w:tc>
          <w:tcPr>
            <w:tcW w:w="2260" w:type="dxa"/>
            <w:tcBorders>
              <w:top w:val="single" w:color="000000" w:sz="4" w:space="0"/>
              <w:left w:val="nil"/>
              <w:bottom w:val="nil"/>
              <w:right w:val="single" w:color="000000" w:sz="4" w:space="0"/>
            </w:tcBorders>
            <w:vAlign w:val="center"/>
          </w:tcPr>
          <w:p>
            <w:pPr>
              <w:jc w:val="left"/>
              <w:rPr>
                <w:rFonts w:ascii="仿宋" w:hAnsi="仿宋" w:eastAsia="仿宋" w:cs="仿宋"/>
                <w:color w:val="000000" w:themeColor="text1"/>
                <w:sz w:val="20"/>
                <w:szCs w:val="20"/>
              </w:rPr>
            </w:pPr>
          </w:p>
        </w:tc>
        <w:tc>
          <w:tcPr>
            <w:tcW w:w="2354" w:type="dxa"/>
            <w:tcBorders>
              <w:top w:val="single" w:color="000000" w:sz="4" w:space="0"/>
              <w:left w:val="nil"/>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结构形式：</w:t>
            </w:r>
          </w:p>
        </w:tc>
        <w:tc>
          <w:tcPr>
            <w:tcW w:w="2354" w:type="dxa"/>
            <w:tcBorders>
              <w:top w:val="single" w:color="000000" w:sz="4" w:space="0"/>
              <w:left w:val="nil"/>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建筑层数：</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开工日期：</w:t>
            </w:r>
          </w:p>
        </w:tc>
        <w:tc>
          <w:tcPr>
            <w:tcW w:w="2260" w:type="dxa"/>
            <w:tcBorders>
              <w:top w:val="single" w:color="000000" w:sz="4" w:space="0"/>
              <w:left w:val="nil"/>
              <w:bottom w:val="single" w:color="000000" w:sz="4" w:space="0"/>
              <w:right w:val="single" w:color="000000" w:sz="4" w:space="0"/>
            </w:tcBorders>
            <w:vAlign w:val="bottom"/>
          </w:tcPr>
          <w:p>
            <w:pPr>
              <w:rPr>
                <w:rFonts w:ascii="仿宋" w:hAnsi="仿宋" w:eastAsia="仿宋" w:cs="仿宋"/>
                <w:color w:val="000000" w:themeColor="text1"/>
                <w:sz w:val="20"/>
                <w:szCs w:val="20"/>
              </w:rPr>
            </w:pPr>
          </w:p>
        </w:tc>
        <w:tc>
          <w:tcPr>
            <w:tcW w:w="4708"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计划竣工日期：</w:t>
            </w:r>
          </w:p>
        </w:tc>
      </w:tr>
      <w:tr>
        <w:tblPrEx>
          <w:tblCellMar>
            <w:top w:w="0" w:type="dxa"/>
            <w:left w:w="108" w:type="dxa"/>
            <w:bottom w:w="0" w:type="dxa"/>
            <w:right w:w="108" w:type="dxa"/>
          </w:tblCellMar>
        </w:tblPrEx>
        <w:trPr>
          <w:trHeight w:val="397" w:hRule="atLeast"/>
          <w:jc w:val="center"/>
        </w:trPr>
        <w:tc>
          <w:tcPr>
            <w:tcW w:w="906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color w:val="000000" w:themeColor="text1"/>
                <w:sz w:val="20"/>
                <w:szCs w:val="20"/>
              </w:rPr>
            </w:pPr>
            <w:r>
              <w:rPr>
                <w:rFonts w:hint="eastAsia" w:ascii="仿宋" w:hAnsi="仿宋" w:eastAsia="仿宋" w:cs="仿宋"/>
                <w:b/>
                <w:color w:val="000000" w:themeColor="text1"/>
                <w:kern w:val="0"/>
                <w:sz w:val="20"/>
                <w:szCs w:val="20"/>
              </w:rPr>
              <w:t>建设单位</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单位名称：</w:t>
            </w:r>
          </w:p>
        </w:tc>
        <w:tc>
          <w:tcPr>
            <w:tcW w:w="2260" w:type="dxa"/>
            <w:tcBorders>
              <w:top w:val="single" w:color="000000" w:sz="4" w:space="0"/>
              <w:left w:val="nil"/>
              <w:bottom w:val="single" w:color="000000" w:sz="4" w:space="0"/>
              <w:right w:val="single" w:color="auto" w:sz="4" w:space="0"/>
            </w:tcBorders>
            <w:vAlign w:val="center"/>
          </w:tcPr>
          <w:p>
            <w:pPr>
              <w:rPr>
                <w:rFonts w:ascii="仿宋" w:hAnsi="仿宋" w:eastAsia="仿宋" w:cs="仿宋"/>
                <w:color w:val="000000" w:themeColor="text1"/>
                <w:sz w:val="20"/>
                <w:szCs w:val="20"/>
              </w:rPr>
            </w:pPr>
          </w:p>
        </w:tc>
        <w:tc>
          <w:tcPr>
            <w:tcW w:w="4708" w:type="dxa"/>
            <w:gridSpan w:val="2"/>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项目负责人：</w:t>
            </w:r>
          </w:p>
        </w:tc>
      </w:tr>
      <w:tr>
        <w:tblPrEx>
          <w:tblCellMar>
            <w:top w:w="0" w:type="dxa"/>
            <w:left w:w="108" w:type="dxa"/>
            <w:bottom w:w="0" w:type="dxa"/>
            <w:right w:w="108" w:type="dxa"/>
          </w:tblCellMar>
        </w:tblPrEx>
        <w:trPr>
          <w:trHeight w:val="397" w:hRule="atLeast"/>
          <w:jc w:val="center"/>
        </w:trPr>
        <w:tc>
          <w:tcPr>
            <w:tcW w:w="9061" w:type="dxa"/>
            <w:gridSpan w:val="4"/>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仿宋" w:hAnsi="仿宋" w:eastAsia="仿宋" w:cs="仿宋"/>
                <w:color w:val="000000" w:themeColor="text1"/>
                <w:kern w:val="0"/>
                <w:sz w:val="20"/>
                <w:szCs w:val="20"/>
                <w:highlight w:val="yellow"/>
              </w:rPr>
            </w:pPr>
            <w:r>
              <w:rPr>
                <w:rFonts w:hint="eastAsia" w:ascii="仿宋" w:hAnsi="仿宋" w:eastAsia="仿宋" w:cs="仿宋"/>
                <w:b/>
                <w:color w:val="000000" w:themeColor="text1"/>
                <w:kern w:val="0"/>
                <w:sz w:val="20"/>
                <w:szCs w:val="20"/>
              </w:rPr>
              <w:t>勘察单位</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单位名称：</w:t>
            </w:r>
          </w:p>
        </w:tc>
        <w:tc>
          <w:tcPr>
            <w:tcW w:w="2260" w:type="dxa"/>
            <w:tcBorders>
              <w:top w:val="single" w:color="000000" w:sz="4" w:space="0"/>
              <w:left w:val="nil"/>
              <w:bottom w:val="single" w:color="000000" w:sz="4" w:space="0"/>
              <w:right w:val="single" w:color="auto" w:sz="4" w:space="0"/>
            </w:tcBorders>
            <w:vAlign w:val="center"/>
          </w:tcPr>
          <w:p>
            <w:pPr>
              <w:widowControl/>
              <w:jc w:val="left"/>
              <w:textAlignment w:val="center"/>
              <w:rPr>
                <w:rFonts w:ascii="仿宋" w:hAnsi="仿宋" w:eastAsia="仿宋" w:cs="仿宋"/>
                <w:color w:val="000000" w:themeColor="text1"/>
                <w:kern w:val="0"/>
                <w:sz w:val="20"/>
                <w:szCs w:val="20"/>
              </w:rPr>
            </w:pPr>
          </w:p>
        </w:tc>
        <w:tc>
          <w:tcPr>
            <w:tcW w:w="4708"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资质等级：</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勘察项目负责人：</w:t>
            </w:r>
          </w:p>
        </w:tc>
        <w:tc>
          <w:tcPr>
            <w:tcW w:w="2260" w:type="dxa"/>
            <w:tcBorders>
              <w:top w:val="single" w:color="000000" w:sz="4" w:space="0"/>
              <w:left w:val="nil"/>
              <w:bottom w:val="single" w:color="000000" w:sz="4" w:space="0"/>
              <w:right w:val="single" w:color="auto" w:sz="4" w:space="0"/>
            </w:tcBorders>
            <w:vAlign w:val="center"/>
          </w:tcPr>
          <w:p>
            <w:pPr>
              <w:widowControl/>
              <w:jc w:val="left"/>
              <w:textAlignment w:val="center"/>
              <w:rPr>
                <w:rFonts w:ascii="仿宋" w:hAnsi="仿宋" w:eastAsia="仿宋" w:cs="仿宋"/>
                <w:color w:val="000000" w:themeColor="text1"/>
                <w:kern w:val="0"/>
                <w:sz w:val="20"/>
                <w:szCs w:val="20"/>
              </w:rPr>
            </w:pPr>
          </w:p>
        </w:tc>
        <w:tc>
          <w:tcPr>
            <w:tcW w:w="4708"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执业资格：</w:t>
            </w:r>
          </w:p>
        </w:tc>
      </w:tr>
      <w:tr>
        <w:tblPrEx>
          <w:tblCellMar>
            <w:top w:w="0" w:type="dxa"/>
            <w:left w:w="108" w:type="dxa"/>
            <w:bottom w:w="0" w:type="dxa"/>
            <w:right w:w="108" w:type="dxa"/>
          </w:tblCellMar>
        </w:tblPrEx>
        <w:trPr>
          <w:trHeight w:val="397" w:hRule="atLeast"/>
          <w:jc w:val="center"/>
        </w:trPr>
        <w:tc>
          <w:tcPr>
            <w:tcW w:w="9061" w:type="dxa"/>
            <w:gridSpan w:val="4"/>
            <w:tcBorders>
              <w:top w:val="single" w:color="000000" w:sz="4" w:space="0"/>
              <w:left w:val="single" w:color="000000" w:sz="4" w:space="0"/>
              <w:bottom w:val="single" w:color="000000" w:sz="4" w:space="0"/>
              <w:right w:val="single" w:color="auto" w:sz="4" w:space="0"/>
            </w:tcBorders>
            <w:vAlign w:val="center"/>
          </w:tcPr>
          <w:p>
            <w:pPr>
              <w:widowControl/>
              <w:jc w:val="center"/>
              <w:textAlignment w:val="center"/>
              <w:rPr>
                <w:rFonts w:ascii="仿宋" w:hAnsi="仿宋" w:eastAsia="仿宋" w:cs="仿宋"/>
                <w:color w:val="000000" w:themeColor="text1"/>
                <w:kern w:val="0"/>
                <w:sz w:val="20"/>
                <w:szCs w:val="20"/>
                <w:highlight w:val="yellow"/>
              </w:rPr>
            </w:pPr>
            <w:r>
              <w:rPr>
                <w:rFonts w:hint="eastAsia" w:ascii="仿宋" w:hAnsi="仿宋" w:eastAsia="仿宋" w:cs="仿宋"/>
                <w:b/>
                <w:color w:val="000000" w:themeColor="text1"/>
                <w:kern w:val="0"/>
                <w:sz w:val="20"/>
                <w:szCs w:val="20"/>
              </w:rPr>
              <w:t>设计单位</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单位名称：</w:t>
            </w:r>
          </w:p>
        </w:tc>
        <w:tc>
          <w:tcPr>
            <w:tcW w:w="2260" w:type="dxa"/>
            <w:tcBorders>
              <w:top w:val="single" w:color="000000" w:sz="4" w:space="0"/>
              <w:left w:val="nil"/>
              <w:bottom w:val="single" w:color="000000" w:sz="4" w:space="0"/>
              <w:right w:val="single" w:color="auto" w:sz="4" w:space="0"/>
            </w:tcBorders>
            <w:vAlign w:val="center"/>
          </w:tcPr>
          <w:p>
            <w:pPr>
              <w:widowControl/>
              <w:jc w:val="left"/>
              <w:textAlignment w:val="center"/>
              <w:rPr>
                <w:rFonts w:ascii="仿宋" w:hAnsi="仿宋" w:eastAsia="仿宋" w:cs="仿宋"/>
                <w:color w:val="000000" w:themeColor="text1"/>
                <w:kern w:val="0"/>
                <w:sz w:val="20"/>
                <w:szCs w:val="20"/>
              </w:rPr>
            </w:pPr>
          </w:p>
        </w:tc>
        <w:tc>
          <w:tcPr>
            <w:tcW w:w="4708"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资质等级</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设计项目负责人：</w:t>
            </w:r>
          </w:p>
        </w:tc>
        <w:tc>
          <w:tcPr>
            <w:tcW w:w="2260" w:type="dxa"/>
            <w:tcBorders>
              <w:top w:val="single" w:color="000000" w:sz="4" w:space="0"/>
              <w:left w:val="nil"/>
              <w:bottom w:val="single" w:color="000000" w:sz="4" w:space="0"/>
              <w:right w:val="single" w:color="auto" w:sz="4" w:space="0"/>
            </w:tcBorders>
            <w:vAlign w:val="center"/>
          </w:tcPr>
          <w:p>
            <w:pPr>
              <w:widowControl/>
              <w:jc w:val="left"/>
              <w:textAlignment w:val="center"/>
              <w:rPr>
                <w:rFonts w:ascii="仿宋" w:hAnsi="仿宋" w:eastAsia="仿宋" w:cs="仿宋"/>
                <w:color w:val="000000" w:themeColor="text1"/>
                <w:kern w:val="0"/>
                <w:sz w:val="20"/>
                <w:szCs w:val="20"/>
              </w:rPr>
            </w:pPr>
          </w:p>
        </w:tc>
        <w:tc>
          <w:tcPr>
            <w:tcW w:w="4708"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执业资格：</w:t>
            </w:r>
          </w:p>
        </w:tc>
      </w:tr>
      <w:tr>
        <w:tblPrEx>
          <w:tblCellMar>
            <w:top w:w="0" w:type="dxa"/>
            <w:left w:w="108" w:type="dxa"/>
            <w:bottom w:w="0" w:type="dxa"/>
            <w:right w:w="108" w:type="dxa"/>
          </w:tblCellMar>
        </w:tblPrEx>
        <w:trPr>
          <w:trHeight w:val="397" w:hRule="atLeast"/>
          <w:jc w:val="center"/>
        </w:trPr>
        <w:tc>
          <w:tcPr>
            <w:tcW w:w="9061" w:type="dxa"/>
            <w:gridSpan w:val="4"/>
            <w:tcBorders>
              <w:top w:val="single" w:color="000000" w:sz="4" w:space="0"/>
              <w:left w:val="single" w:color="000000" w:sz="4" w:space="0"/>
              <w:bottom w:val="single" w:color="000000" w:sz="4" w:space="0"/>
              <w:right w:val="single" w:color="auto" w:sz="4" w:space="0"/>
            </w:tcBorders>
            <w:vAlign w:val="center"/>
          </w:tcPr>
          <w:p>
            <w:pPr>
              <w:jc w:val="center"/>
              <w:rPr>
                <w:rFonts w:ascii="仿宋" w:hAnsi="仿宋" w:eastAsia="仿宋" w:cs="仿宋"/>
                <w:b/>
                <w:color w:val="000000" w:themeColor="text1"/>
                <w:kern w:val="0"/>
                <w:sz w:val="20"/>
                <w:szCs w:val="20"/>
              </w:rPr>
            </w:pPr>
            <w:r>
              <w:rPr>
                <w:rFonts w:hint="eastAsia" w:ascii="仿宋" w:hAnsi="仿宋" w:eastAsia="仿宋" w:cs="仿宋"/>
                <w:b/>
                <w:color w:val="000000" w:themeColor="text1"/>
                <w:kern w:val="0"/>
                <w:sz w:val="20"/>
                <w:szCs w:val="20"/>
              </w:rPr>
              <w:t>施工总承包单位</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单位名称：</w:t>
            </w:r>
          </w:p>
        </w:tc>
        <w:tc>
          <w:tcPr>
            <w:tcW w:w="2260" w:type="dxa"/>
            <w:tcBorders>
              <w:top w:val="single" w:color="000000" w:sz="4" w:space="0"/>
              <w:left w:val="nil"/>
              <w:bottom w:val="single" w:color="000000" w:sz="4" w:space="0"/>
              <w:right w:val="single" w:color="auto" w:sz="4" w:space="0"/>
            </w:tcBorders>
            <w:vAlign w:val="center"/>
          </w:tcPr>
          <w:p>
            <w:pPr>
              <w:jc w:val="center"/>
              <w:rPr>
                <w:rFonts w:ascii="仿宋" w:hAnsi="仿宋" w:eastAsia="仿宋" w:cs="仿宋"/>
                <w:color w:val="000000" w:themeColor="text1"/>
                <w:sz w:val="20"/>
                <w:szCs w:val="20"/>
              </w:rPr>
            </w:pPr>
          </w:p>
        </w:tc>
        <w:tc>
          <w:tcPr>
            <w:tcW w:w="4708" w:type="dxa"/>
            <w:gridSpan w:val="2"/>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项目经理：</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技术负责人：</w:t>
            </w:r>
          </w:p>
        </w:tc>
        <w:tc>
          <w:tcPr>
            <w:tcW w:w="2260" w:type="dxa"/>
            <w:tcBorders>
              <w:top w:val="single" w:color="000000" w:sz="4" w:space="0"/>
              <w:left w:val="nil"/>
              <w:bottom w:val="single" w:color="000000" w:sz="4" w:space="0"/>
              <w:right w:val="single" w:color="auto" w:sz="4" w:space="0"/>
            </w:tcBorders>
            <w:vAlign w:val="center"/>
          </w:tcPr>
          <w:p>
            <w:pPr>
              <w:jc w:val="center"/>
              <w:rPr>
                <w:rFonts w:ascii="仿宋" w:hAnsi="仿宋" w:eastAsia="仿宋" w:cs="仿宋"/>
                <w:color w:val="000000" w:themeColor="text1"/>
                <w:sz w:val="20"/>
                <w:szCs w:val="20"/>
              </w:rPr>
            </w:pPr>
          </w:p>
        </w:tc>
        <w:tc>
          <w:tcPr>
            <w:tcW w:w="4708" w:type="dxa"/>
            <w:gridSpan w:val="2"/>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单位资质：</w:t>
            </w:r>
          </w:p>
        </w:tc>
      </w:tr>
      <w:tr>
        <w:tblPrEx>
          <w:tblCellMar>
            <w:top w:w="0" w:type="dxa"/>
            <w:left w:w="108" w:type="dxa"/>
            <w:bottom w:w="0" w:type="dxa"/>
            <w:right w:w="108" w:type="dxa"/>
          </w:tblCellMar>
        </w:tblPrEx>
        <w:trPr>
          <w:trHeight w:val="397" w:hRule="atLeast"/>
          <w:jc w:val="center"/>
        </w:trPr>
        <w:tc>
          <w:tcPr>
            <w:tcW w:w="9061" w:type="dxa"/>
            <w:gridSpan w:val="4"/>
            <w:tcBorders>
              <w:top w:val="single" w:color="000000" w:sz="4" w:space="0"/>
              <w:left w:val="single" w:color="000000" w:sz="4" w:space="0"/>
              <w:bottom w:val="nil"/>
              <w:right w:val="single" w:color="000000" w:sz="4" w:space="0"/>
            </w:tcBorders>
            <w:vAlign w:val="center"/>
          </w:tcPr>
          <w:p>
            <w:pPr>
              <w:widowControl/>
              <w:jc w:val="center"/>
              <w:textAlignment w:val="center"/>
              <w:rPr>
                <w:rFonts w:ascii="仿宋" w:hAnsi="仿宋" w:eastAsia="仿宋" w:cs="仿宋"/>
                <w:b/>
                <w:color w:val="000000" w:themeColor="text1"/>
                <w:sz w:val="20"/>
                <w:szCs w:val="20"/>
              </w:rPr>
            </w:pPr>
            <w:r>
              <w:rPr>
                <w:rFonts w:hint="eastAsia" w:ascii="仿宋" w:hAnsi="仿宋" w:eastAsia="仿宋" w:cs="仿宋"/>
                <w:b/>
                <w:color w:val="000000" w:themeColor="text1"/>
                <w:kern w:val="0"/>
                <w:sz w:val="20"/>
                <w:szCs w:val="20"/>
              </w:rPr>
              <w:t>监理单位</w:t>
            </w:r>
          </w:p>
        </w:tc>
      </w:tr>
      <w:tr>
        <w:tblPrEx>
          <w:tblCellMar>
            <w:top w:w="0" w:type="dxa"/>
            <w:left w:w="108" w:type="dxa"/>
            <w:bottom w:w="0" w:type="dxa"/>
            <w:right w:w="108" w:type="dxa"/>
          </w:tblCellMar>
        </w:tblPrEx>
        <w:trPr>
          <w:trHeight w:val="397" w:hRule="atLeast"/>
          <w:jc w:val="center"/>
        </w:trPr>
        <w:tc>
          <w:tcPr>
            <w:tcW w:w="209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单位名称：</w:t>
            </w:r>
          </w:p>
        </w:tc>
        <w:tc>
          <w:tcPr>
            <w:tcW w:w="2260" w:type="dxa"/>
            <w:tcBorders>
              <w:top w:val="single" w:color="000000" w:sz="4" w:space="0"/>
              <w:left w:val="nil"/>
              <w:bottom w:val="single" w:color="000000" w:sz="4" w:space="0"/>
              <w:right w:val="single" w:color="auto" w:sz="4" w:space="0"/>
            </w:tcBorders>
            <w:vAlign w:val="center"/>
          </w:tcPr>
          <w:p>
            <w:pPr>
              <w:jc w:val="center"/>
              <w:rPr>
                <w:rFonts w:ascii="仿宋" w:hAnsi="仿宋" w:eastAsia="仿宋" w:cs="仿宋"/>
                <w:color w:val="000000" w:themeColor="text1"/>
                <w:sz w:val="20"/>
                <w:szCs w:val="20"/>
              </w:rPr>
            </w:pPr>
          </w:p>
        </w:tc>
        <w:tc>
          <w:tcPr>
            <w:tcW w:w="4708" w:type="dxa"/>
            <w:gridSpan w:val="2"/>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资质等级：</w:t>
            </w:r>
          </w:p>
        </w:tc>
      </w:tr>
      <w:tr>
        <w:tblPrEx>
          <w:tblCellMar>
            <w:top w:w="0" w:type="dxa"/>
            <w:left w:w="108" w:type="dxa"/>
            <w:bottom w:w="0" w:type="dxa"/>
            <w:right w:w="108" w:type="dxa"/>
          </w:tblCellMar>
        </w:tblPrEx>
        <w:trPr>
          <w:trHeight w:val="397" w:hRule="atLeast"/>
          <w:jc w:val="center"/>
        </w:trPr>
        <w:tc>
          <w:tcPr>
            <w:tcW w:w="2093" w:type="dxa"/>
            <w:tcBorders>
              <w:top w:val="nil"/>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总监理工程师：</w:t>
            </w:r>
          </w:p>
        </w:tc>
        <w:tc>
          <w:tcPr>
            <w:tcW w:w="2260" w:type="dxa"/>
            <w:tcBorders>
              <w:top w:val="nil"/>
              <w:left w:val="nil"/>
              <w:bottom w:val="single" w:color="000000" w:sz="4" w:space="0"/>
              <w:right w:val="single" w:color="000000" w:sz="4" w:space="0"/>
            </w:tcBorders>
            <w:vAlign w:val="center"/>
          </w:tcPr>
          <w:p>
            <w:pPr>
              <w:jc w:val="center"/>
              <w:rPr>
                <w:rFonts w:ascii="仿宋" w:hAnsi="仿宋" w:eastAsia="仿宋" w:cs="仿宋"/>
                <w:color w:val="000000" w:themeColor="text1"/>
                <w:sz w:val="20"/>
                <w:szCs w:val="20"/>
              </w:rPr>
            </w:pPr>
          </w:p>
        </w:tc>
        <w:tc>
          <w:tcPr>
            <w:tcW w:w="4708" w:type="dxa"/>
            <w:gridSpan w:val="2"/>
            <w:tcBorders>
              <w:top w:val="single" w:color="auto"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执业资格：</w:t>
            </w:r>
          </w:p>
        </w:tc>
      </w:tr>
      <w:tr>
        <w:tblPrEx>
          <w:tblCellMar>
            <w:top w:w="0" w:type="dxa"/>
            <w:left w:w="108" w:type="dxa"/>
            <w:bottom w:w="0" w:type="dxa"/>
            <w:right w:w="108" w:type="dxa"/>
          </w:tblCellMar>
        </w:tblPrEx>
        <w:trPr>
          <w:trHeight w:val="397" w:hRule="atLeast"/>
          <w:jc w:val="center"/>
        </w:trPr>
        <w:tc>
          <w:tcPr>
            <w:tcW w:w="9061" w:type="dxa"/>
            <w:gridSpan w:val="4"/>
            <w:tcBorders>
              <w:top w:val="nil"/>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color w:val="000000" w:themeColor="text1"/>
                <w:kern w:val="0"/>
                <w:sz w:val="20"/>
                <w:szCs w:val="20"/>
              </w:rPr>
            </w:pPr>
            <w:r>
              <w:rPr>
                <w:rFonts w:hint="eastAsia" w:ascii="仿宋" w:hAnsi="仿宋" w:eastAsia="仿宋" w:cs="仿宋"/>
                <w:b/>
                <w:color w:val="000000" w:themeColor="text1"/>
                <w:kern w:val="0"/>
                <w:sz w:val="20"/>
                <w:szCs w:val="20"/>
              </w:rPr>
              <w:t>施工图审查机构</w:t>
            </w:r>
          </w:p>
        </w:tc>
      </w:tr>
      <w:tr>
        <w:tblPrEx>
          <w:tblCellMar>
            <w:top w:w="0" w:type="dxa"/>
            <w:left w:w="108" w:type="dxa"/>
            <w:bottom w:w="0" w:type="dxa"/>
            <w:right w:w="108" w:type="dxa"/>
          </w:tblCellMar>
        </w:tblPrEx>
        <w:trPr>
          <w:trHeight w:val="397" w:hRule="atLeast"/>
          <w:jc w:val="center"/>
        </w:trPr>
        <w:tc>
          <w:tcPr>
            <w:tcW w:w="9061" w:type="dxa"/>
            <w:gridSpan w:val="4"/>
            <w:tcBorders>
              <w:top w:val="nil"/>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单位名称：</w:t>
            </w:r>
          </w:p>
        </w:tc>
      </w:tr>
      <w:tr>
        <w:tblPrEx>
          <w:tblCellMar>
            <w:top w:w="0" w:type="dxa"/>
            <w:left w:w="108" w:type="dxa"/>
            <w:bottom w:w="0" w:type="dxa"/>
            <w:right w:w="108" w:type="dxa"/>
          </w:tblCellMar>
        </w:tblPrEx>
        <w:trPr>
          <w:trHeight w:val="397" w:hRule="atLeast"/>
          <w:jc w:val="center"/>
        </w:trPr>
        <w:tc>
          <w:tcPr>
            <w:tcW w:w="2093" w:type="dxa"/>
            <w:tcBorders>
              <w:top w:val="nil"/>
              <w:left w:val="single" w:color="000000" w:sz="4" w:space="0"/>
              <w:bottom w:val="single" w:color="000000" w:sz="4" w:space="0"/>
              <w:right w:val="nil"/>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单位资质：</w:t>
            </w:r>
          </w:p>
        </w:tc>
        <w:tc>
          <w:tcPr>
            <w:tcW w:w="2260" w:type="dxa"/>
            <w:tcBorders>
              <w:top w:val="nil"/>
              <w:left w:val="nil"/>
              <w:bottom w:val="single" w:color="000000" w:sz="4" w:space="0"/>
              <w:right w:val="single" w:color="000000" w:sz="4" w:space="0"/>
            </w:tcBorders>
            <w:vAlign w:val="center"/>
          </w:tcPr>
          <w:p>
            <w:pPr>
              <w:jc w:val="center"/>
              <w:rPr>
                <w:rFonts w:ascii="仿宋" w:hAnsi="仿宋" w:eastAsia="仿宋" w:cs="仿宋"/>
                <w:color w:val="000000" w:themeColor="text1"/>
                <w:sz w:val="20"/>
                <w:szCs w:val="20"/>
              </w:rPr>
            </w:pPr>
          </w:p>
        </w:tc>
        <w:tc>
          <w:tcPr>
            <w:tcW w:w="4708" w:type="dxa"/>
            <w:gridSpan w:val="2"/>
            <w:tcBorders>
              <w:top w:val="single" w:color="auto"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技术负责人：</w:t>
            </w:r>
          </w:p>
        </w:tc>
      </w:tr>
      <w:tr>
        <w:tblPrEx>
          <w:tblCellMar>
            <w:top w:w="0" w:type="dxa"/>
            <w:left w:w="108" w:type="dxa"/>
            <w:bottom w:w="0" w:type="dxa"/>
            <w:right w:w="108" w:type="dxa"/>
          </w:tblCellMar>
        </w:tblPrEx>
        <w:trPr>
          <w:trHeight w:val="340" w:hRule="atLeast"/>
          <w:jc w:val="center"/>
        </w:trPr>
        <w:tc>
          <w:tcPr>
            <w:tcW w:w="9061" w:type="dxa"/>
            <w:gridSpan w:val="4"/>
            <w:tcBorders>
              <w:top w:val="single" w:color="000000" w:sz="4" w:space="0"/>
              <w:left w:val="nil"/>
              <w:bottom w:val="nil"/>
              <w:right w:val="nil"/>
            </w:tcBorders>
            <w:vAlign w:val="bottom"/>
          </w:tcPr>
          <w:p>
            <w:pPr>
              <w:widowControl/>
              <w:jc w:val="left"/>
              <w:textAlignment w:val="bottom"/>
              <w:rPr>
                <w:rFonts w:ascii="仿宋" w:hAnsi="仿宋" w:eastAsia="仿宋" w:cs="仿宋"/>
                <w:color w:val="000000" w:themeColor="text1"/>
                <w:sz w:val="20"/>
                <w:szCs w:val="20"/>
              </w:rPr>
            </w:pPr>
          </w:p>
        </w:tc>
      </w:tr>
    </w:tbl>
    <w:p>
      <w:pPr>
        <w:spacing w:line="578" w:lineRule="exact"/>
        <w:rPr>
          <w:rFonts w:ascii="黑体" w:hAnsi="黑体" w:eastAsia="黑体" w:cs="黑体"/>
          <w:color w:val="000000" w:themeColor="text1"/>
          <w:sz w:val="32"/>
          <w:szCs w:val="32"/>
        </w:rPr>
        <w:sectPr>
          <w:headerReference r:id="rId11" w:type="default"/>
          <w:footerReference r:id="rId12" w:type="default"/>
          <w:pgSz w:w="11906" w:h="16838"/>
          <w:pgMar w:top="1440" w:right="1701" w:bottom="1440" w:left="1701" w:header="851" w:footer="1276" w:gutter="0"/>
          <w:cols w:space="0" w:num="1"/>
          <w:docGrid w:type="lines" w:linePitch="318" w:charSpace="0"/>
        </w:sectPr>
      </w:pPr>
    </w:p>
    <w:p>
      <w:pPr>
        <w:spacing w:line="578" w:lineRule="exact"/>
        <w:rPr>
          <w:rFonts w:ascii="黑体" w:hAnsi="黑体" w:eastAsia="黑体" w:cs="黑体"/>
          <w:color w:val="000000" w:themeColor="text1"/>
          <w:sz w:val="32"/>
          <w:szCs w:val="32"/>
        </w:rPr>
        <w:sectPr>
          <w:type w:val="continuous"/>
          <w:pgSz w:w="11906" w:h="16838"/>
          <w:pgMar w:top="1440" w:right="1701" w:bottom="1440" w:left="1701" w:header="851" w:footer="1276" w:gutter="0"/>
          <w:cols w:space="0" w:num="1"/>
          <w:docGrid w:type="lines" w:linePitch="318" w:charSpace="0"/>
        </w:sectPr>
      </w:pPr>
    </w:p>
    <w:tbl>
      <w:tblPr>
        <w:tblStyle w:val="15"/>
        <w:tblW w:w="9061" w:type="dxa"/>
        <w:tblInd w:w="0" w:type="dxa"/>
        <w:tblLayout w:type="fixed"/>
        <w:tblCellMar>
          <w:top w:w="0" w:type="dxa"/>
          <w:left w:w="108" w:type="dxa"/>
          <w:bottom w:w="0" w:type="dxa"/>
          <w:right w:w="108" w:type="dxa"/>
        </w:tblCellMar>
      </w:tblPr>
      <w:tblGrid>
        <w:gridCol w:w="1282"/>
        <w:gridCol w:w="1300"/>
        <w:gridCol w:w="3201"/>
        <w:gridCol w:w="3278"/>
      </w:tblGrid>
      <w:tr>
        <w:tblPrEx>
          <w:tblCellMar>
            <w:top w:w="0" w:type="dxa"/>
            <w:left w:w="108" w:type="dxa"/>
            <w:bottom w:w="0" w:type="dxa"/>
            <w:right w:w="108" w:type="dxa"/>
          </w:tblCellMar>
        </w:tblPrEx>
        <w:trPr>
          <w:trHeight w:val="454" w:hRule="atLeast"/>
        </w:trPr>
        <w:tc>
          <w:tcPr>
            <w:tcW w:w="906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color w:val="000000" w:themeColor="text1"/>
                <w:sz w:val="20"/>
                <w:szCs w:val="20"/>
              </w:rPr>
            </w:pPr>
            <w:r>
              <w:rPr>
                <w:rFonts w:hint="eastAsia" w:ascii="仿宋" w:hAnsi="仿宋" w:eastAsia="仿宋" w:cs="仿宋"/>
                <w:b/>
                <w:color w:val="000000" w:themeColor="text1"/>
                <w:kern w:val="0"/>
                <w:sz w:val="20"/>
                <w:szCs w:val="20"/>
              </w:rPr>
              <w:t>专业分包单位</w:t>
            </w:r>
          </w:p>
        </w:tc>
      </w:tr>
      <w:tr>
        <w:tblPrEx>
          <w:tblCellMar>
            <w:top w:w="0" w:type="dxa"/>
            <w:left w:w="108" w:type="dxa"/>
            <w:bottom w:w="0" w:type="dxa"/>
            <w:right w:w="108" w:type="dxa"/>
          </w:tblCellMar>
        </w:tblPrEx>
        <w:trPr>
          <w:trHeight w:val="454" w:hRule="atLeast"/>
        </w:trPr>
        <w:tc>
          <w:tcPr>
            <w:tcW w:w="128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模架工程</w:t>
            </w:r>
          </w:p>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施工单位</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单位名称：</w:t>
            </w: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p>
        </w:tc>
      </w:tr>
      <w:tr>
        <w:tblPrEx>
          <w:tblCellMar>
            <w:top w:w="0" w:type="dxa"/>
            <w:left w:w="108" w:type="dxa"/>
            <w:bottom w:w="0" w:type="dxa"/>
            <w:right w:w="108" w:type="dxa"/>
          </w:tblCellMar>
        </w:tblPrEx>
        <w:trPr>
          <w:trHeight w:val="454" w:hRule="atLeast"/>
        </w:trPr>
        <w:tc>
          <w:tcPr>
            <w:tcW w:w="12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themeColor="text1"/>
                <w:sz w:val="20"/>
                <w:szCs w:val="20"/>
              </w:rPr>
            </w:pP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资质等级：</w:t>
            </w: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负责人：</w:t>
            </w:r>
          </w:p>
        </w:tc>
      </w:tr>
      <w:tr>
        <w:tblPrEx>
          <w:tblCellMar>
            <w:top w:w="0" w:type="dxa"/>
            <w:left w:w="108" w:type="dxa"/>
            <w:bottom w:w="0" w:type="dxa"/>
            <w:right w:w="108" w:type="dxa"/>
          </w:tblCellMar>
        </w:tblPrEx>
        <w:trPr>
          <w:trHeight w:val="454" w:hRule="atLeast"/>
        </w:trPr>
        <w:tc>
          <w:tcPr>
            <w:tcW w:w="128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基坑工程</w:t>
            </w:r>
          </w:p>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施工单位</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单位名称：</w:t>
            </w: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themeColor="text1"/>
                <w:sz w:val="20"/>
                <w:szCs w:val="20"/>
              </w:rPr>
            </w:pPr>
          </w:p>
        </w:tc>
      </w:tr>
      <w:tr>
        <w:tblPrEx>
          <w:tblCellMar>
            <w:top w:w="0" w:type="dxa"/>
            <w:left w:w="108" w:type="dxa"/>
            <w:bottom w:w="0" w:type="dxa"/>
            <w:right w:w="108" w:type="dxa"/>
          </w:tblCellMar>
        </w:tblPrEx>
        <w:trPr>
          <w:trHeight w:val="454" w:hRule="atLeast"/>
        </w:trPr>
        <w:tc>
          <w:tcPr>
            <w:tcW w:w="12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themeColor="text1"/>
                <w:sz w:val="20"/>
                <w:szCs w:val="20"/>
              </w:rPr>
            </w:pP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资质等级：</w:t>
            </w: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负责人：</w:t>
            </w:r>
          </w:p>
        </w:tc>
      </w:tr>
      <w:tr>
        <w:tblPrEx>
          <w:tblCellMar>
            <w:top w:w="0" w:type="dxa"/>
            <w:left w:w="108" w:type="dxa"/>
            <w:bottom w:w="0" w:type="dxa"/>
            <w:right w:w="108" w:type="dxa"/>
          </w:tblCellMar>
        </w:tblPrEx>
        <w:trPr>
          <w:trHeight w:val="454" w:hRule="atLeast"/>
        </w:trPr>
        <w:tc>
          <w:tcPr>
            <w:tcW w:w="128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起重机械</w:t>
            </w:r>
          </w:p>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安拆单位</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单位名称：</w:t>
            </w: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color w:val="000000" w:themeColor="text1"/>
                <w:sz w:val="20"/>
                <w:szCs w:val="20"/>
              </w:rPr>
            </w:pPr>
          </w:p>
        </w:tc>
      </w:tr>
      <w:tr>
        <w:tblPrEx>
          <w:tblCellMar>
            <w:top w:w="0" w:type="dxa"/>
            <w:left w:w="108" w:type="dxa"/>
            <w:bottom w:w="0" w:type="dxa"/>
            <w:right w:w="108" w:type="dxa"/>
          </w:tblCellMar>
        </w:tblPrEx>
        <w:trPr>
          <w:trHeight w:val="454" w:hRule="atLeast"/>
        </w:trPr>
        <w:tc>
          <w:tcPr>
            <w:tcW w:w="128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themeColor="text1"/>
                <w:sz w:val="20"/>
                <w:szCs w:val="20"/>
              </w:rPr>
            </w:pP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资质等级：</w:t>
            </w: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负责人：</w:t>
            </w:r>
          </w:p>
        </w:tc>
      </w:tr>
      <w:tr>
        <w:tblPrEx>
          <w:tblCellMar>
            <w:top w:w="0" w:type="dxa"/>
            <w:left w:w="108" w:type="dxa"/>
            <w:bottom w:w="0" w:type="dxa"/>
            <w:right w:w="108" w:type="dxa"/>
          </w:tblCellMar>
        </w:tblPrEx>
        <w:trPr>
          <w:trHeight w:val="454" w:hRule="atLeast"/>
        </w:trPr>
        <w:tc>
          <w:tcPr>
            <w:tcW w:w="12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起重机械</w:t>
            </w:r>
          </w:p>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租赁单位</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单位名称：</w:t>
            </w: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负责人：</w:t>
            </w:r>
          </w:p>
        </w:tc>
      </w:tr>
      <w:tr>
        <w:tblPrEx>
          <w:tblCellMar>
            <w:top w:w="0" w:type="dxa"/>
            <w:left w:w="108" w:type="dxa"/>
            <w:bottom w:w="0" w:type="dxa"/>
            <w:right w:w="108" w:type="dxa"/>
          </w:tblCellMar>
        </w:tblPrEx>
        <w:trPr>
          <w:trHeight w:val="454" w:hRule="atLeast"/>
        </w:trPr>
        <w:tc>
          <w:tcPr>
            <w:tcW w:w="906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color w:val="000000" w:themeColor="text1"/>
                <w:sz w:val="20"/>
                <w:szCs w:val="20"/>
              </w:rPr>
            </w:pPr>
            <w:r>
              <w:rPr>
                <w:rFonts w:hint="eastAsia" w:ascii="仿宋" w:hAnsi="仿宋" w:eastAsia="仿宋" w:cs="仿宋"/>
                <w:b/>
                <w:color w:val="000000" w:themeColor="text1"/>
                <w:kern w:val="0"/>
                <w:sz w:val="20"/>
                <w:szCs w:val="20"/>
              </w:rPr>
              <w:t>劳务分包单位</w:t>
            </w:r>
          </w:p>
        </w:tc>
      </w:tr>
      <w:tr>
        <w:tblPrEx>
          <w:tblCellMar>
            <w:top w:w="0" w:type="dxa"/>
            <w:left w:w="108" w:type="dxa"/>
            <w:bottom w:w="0" w:type="dxa"/>
            <w:right w:w="108" w:type="dxa"/>
          </w:tblCellMar>
        </w:tblPrEx>
        <w:trPr>
          <w:trHeight w:val="454" w:hRule="atLeast"/>
        </w:trPr>
        <w:tc>
          <w:tcPr>
            <w:tcW w:w="12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1</w:t>
            </w:r>
          </w:p>
        </w:tc>
        <w:tc>
          <w:tcPr>
            <w:tcW w:w="13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单位名称：</w:t>
            </w:r>
          </w:p>
        </w:tc>
        <w:tc>
          <w:tcPr>
            <w:tcW w:w="3201" w:type="dxa"/>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负责人：</w:t>
            </w:r>
          </w:p>
        </w:tc>
      </w:tr>
      <w:tr>
        <w:tblPrEx>
          <w:tblCellMar>
            <w:top w:w="0" w:type="dxa"/>
            <w:left w:w="108" w:type="dxa"/>
            <w:bottom w:w="0" w:type="dxa"/>
            <w:right w:w="108" w:type="dxa"/>
          </w:tblCellMar>
        </w:tblPrEx>
        <w:trPr>
          <w:trHeight w:val="454" w:hRule="atLeast"/>
        </w:trPr>
        <w:tc>
          <w:tcPr>
            <w:tcW w:w="12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2</w:t>
            </w:r>
          </w:p>
        </w:tc>
        <w:tc>
          <w:tcPr>
            <w:tcW w:w="13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单位名称：</w:t>
            </w: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sz w:val="20"/>
                <w:szCs w:val="20"/>
              </w:rPr>
            </w:pPr>
            <w:r>
              <w:rPr>
                <w:rFonts w:hint="eastAsia" w:ascii="仿宋" w:hAnsi="仿宋" w:eastAsia="仿宋" w:cs="仿宋"/>
                <w:color w:val="000000" w:themeColor="text1"/>
                <w:kern w:val="0"/>
                <w:sz w:val="20"/>
                <w:szCs w:val="20"/>
              </w:rPr>
              <w:t>负责人：</w:t>
            </w:r>
          </w:p>
        </w:tc>
      </w:tr>
      <w:tr>
        <w:tblPrEx>
          <w:tblCellMar>
            <w:top w:w="0" w:type="dxa"/>
            <w:left w:w="108" w:type="dxa"/>
            <w:bottom w:w="0" w:type="dxa"/>
            <w:right w:w="108" w:type="dxa"/>
          </w:tblCellMar>
        </w:tblPrEx>
        <w:trPr>
          <w:trHeight w:val="454" w:hRule="atLeast"/>
        </w:trPr>
        <w:tc>
          <w:tcPr>
            <w:tcW w:w="12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3</w:t>
            </w:r>
          </w:p>
        </w:tc>
        <w:tc>
          <w:tcPr>
            <w:tcW w:w="13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themeColor="text1"/>
                <w:kern w:val="0"/>
                <w:sz w:val="20"/>
                <w:szCs w:val="20"/>
              </w:rPr>
            </w:pP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kern w:val="0"/>
                <w:sz w:val="20"/>
                <w:szCs w:val="20"/>
              </w:rPr>
            </w:pPr>
          </w:p>
        </w:tc>
      </w:tr>
      <w:tr>
        <w:tblPrEx>
          <w:tblCellMar>
            <w:top w:w="0" w:type="dxa"/>
            <w:left w:w="108" w:type="dxa"/>
            <w:bottom w:w="0" w:type="dxa"/>
            <w:right w:w="108" w:type="dxa"/>
          </w:tblCellMar>
        </w:tblPrEx>
        <w:trPr>
          <w:trHeight w:val="454" w:hRule="atLeast"/>
        </w:trPr>
        <w:tc>
          <w:tcPr>
            <w:tcW w:w="12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themeColor="text1"/>
                <w:kern w:val="0"/>
                <w:sz w:val="20"/>
                <w:szCs w:val="20"/>
              </w:rPr>
            </w:pPr>
            <w:r>
              <w:rPr>
                <w:rFonts w:hint="eastAsia" w:ascii="仿宋" w:hAnsi="仿宋" w:eastAsia="仿宋" w:cs="仿宋"/>
                <w:color w:val="000000" w:themeColor="text1"/>
                <w:kern w:val="0"/>
                <w:sz w:val="20"/>
                <w:szCs w:val="20"/>
              </w:rPr>
              <w:t>4</w:t>
            </w:r>
          </w:p>
        </w:tc>
        <w:tc>
          <w:tcPr>
            <w:tcW w:w="13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themeColor="text1"/>
                <w:kern w:val="0"/>
                <w:sz w:val="20"/>
                <w:szCs w:val="20"/>
              </w:rPr>
            </w:pPr>
          </w:p>
        </w:tc>
        <w:tc>
          <w:tcPr>
            <w:tcW w:w="3201" w:type="dxa"/>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仿宋"/>
                <w:color w:val="000000" w:themeColor="text1"/>
                <w:sz w:val="20"/>
                <w:szCs w:val="20"/>
              </w:rPr>
            </w:pPr>
          </w:p>
        </w:tc>
        <w:tc>
          <w:tcPr>
            <w:tcW w:w="327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color w:val="000000" w:themeColor="text1"/>
                <w:kern w:val="0"/>
                <w:sz w:val="20"/>
                <w:szCs w:val="20"/>
              </w:rPr>
            </w:pPr>
          </w:p>
        </w:tc>
      </w:tr>
      <w:tr>
        <w:tblPrEx>
          <w:tblCellMar>
            <w:top w:w="0" w:type="dxa"/>
            <w:left w:w="108" w:type="dxa"/>
            <w:bottom w:w="0" w:type="dxa"/>
            <w:right w:w="108" w:type="dxa"/>
          </w:tblCellMar>
        </w:tblPrEx>
        <w:trPr>
          <w:trHeight w:val="594" w:hRule="atLeast"/>
        </w:trPr>
        <w:tc>
          <w:tcPr>
            <w:tcW w:w="9061" w:type="dxa"/>
            <w:gridSpan w:val="4"/>
            <w:tcBorders>
              <w:top w:val="single" w:color="000000" w:sz="4" w:space="0"/>
              <w:left w:val="nil"/>
              <w:bottom w:val="nil"/>
              <w:right w:val="nil"/>
            </w:tcBorders>
            <w:vAlign w:val="bottom"/>
          </w:tcPr>
          <w:p>
            <w:pPr>
              <w:widowControl/>
              <w:jc w:val="left"/>
              <w:textAlignment w:val="bottom"/>
              <w:rPr>
                <w:rFonts w:ascii="仿宋" w:hAnsi="仿宋" w:eastAsia="仿宋" w:cs="仿宋"/>
                <w:color w:val="000000" w:themeColor="text1"/>
                <w:sz w:val="20"/>
                <w:szCs w:val="20"/>
              </w:rPr>
            </w:pPr>
          </w:p>
        </w:tc>
      </w:tr>
    </w:tbl>
    <w:p>
      <w:pPr>
        <w:spacing w:line="578" w:lineRule="exact"/>
        <w:rPr>
          <w:rFonts w:cs="仿宋_GB2312"/>
          <w:color w:val="000000" w:themeColor="text1"/>
          <w:sz w:val="32"/>
          <w:szCs w:val="32"/>
        </w:rPr>
        <w:sectPr>
          <w:pgSz w:w="11906" w:h="16838"/>
          <w:pgMar w:top="2098" w:right="1474" w:bottom="1984" w:left="1474" w:header="851" w:footer="992" w:gutter="0"/>
          <w:cols w:space="425" w:num="1"/>
          <w:docGrid w:type="lines" w:linePitch="312" w:charSpace="0"/>
        </w:sectPr>
      </w:pPr>
    </w:p>
    <w:p>
      <w:pPr>
        <w:spacing w:line="578" w:lineRule="exact"/>
        <w:jc w:val="center"/>
        <w:rPr>
          <w:rFonts w:ascii="方正小标宋简体" w:eastAsia="方正小标宋简体"/>
          <w:color w:val="000000" w:themeColor="text1"/>
          <w:sz w:val="44"/>
        </w:rPr>
      </w:pPr>
    </w:p>
    <w:p>
      <w:pPr>
        <w:spacing w:line="578" w:lineRule="exact"/>
        <w:jc w:val="center"/>
        <w:rPr>
          <w:rFonts w:ascii="方正小标宋简体" w:eastAsia="方正小标宋简体"/>
          <w:color w:val="000000" w:themeColor="text1"/>
          <w:sz w:val="36"/>
        </w:rPr>
      </w:pPr>
      <w:r>
        <w:rPr>
          <w:rFonts w:hint="eastAsia" w:ascii="方正小标宋简体" w:eastAsia="方正小标宋简体"/>
          <w:color w:val="000000" w:themeColor="text1"/>
          <w:sz w:val="44"/>
        </w:rPr>
        <w:t>施工现场安全生产检查表</w:t>
      </w:r>
    </w:p>
    <w:p>
      <w:pPr>
        <w:spacing w:line="600" w:lineRule="exact"/>
        <w:jc w:val="center"/>
        <w:rPr>
          <w:color w:val="000000" w:themeColor="text1"/>
          <w:sz w:val="24"/>
        </w:rPr>
      </w:pPr>
      <w:r>
        <w:rPr>
          <w:rFonts w:hint="eastAsia"/>
          <w:color w:val="000000" w:themeColor="text1"/>
          <w:sz w:val="24"/>
        </w:rPr>
        <w:t>地市：           项目名称：                                         日期：     年   月   日</w:t>
      </w:r>
    </w:p>
    <w:tbl>
      <w:tblPr>
        <w:tblStyle w:val="15"/>
        <w:tblW w:w="13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3865"/>
        <w:gridCol w:w="5747"/>
        <w:gridCol w:w="1701"/>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exact"/>
          <w:jc w:val="center"/>
        </w:trPr>
        <w:tc>
          <w:tcPr>
            <w:tcW w:w="835" w:type="dxa"/>
            <w:vAlign w:val="center"/>
          </w:tcPr>
          <w:p>
            <w:pPr>
              <w:spacing w:line="320" w:lineRule="exact"/>
              <w:jc w:val="center"/>
              <w:rPr>
                <w:rFonts w:ascii="黑体" w:hAnsi="黑体" w:eastAsia="黑体" w:cs="黑体"/>
                <w:b/>
                <w:bCs/>
                <w:color w:val="000000" w:themeColor="text1"/>
                <w:sz w:val="24"/>
              </w:rPr>
            </w:pPr>
            <w:r>
              <w:rPr>
                <w:rFonts w:hint="eastAsia" w:ascii="黑体" w:hAnsi="黑体" w:eastAsia="黑体" w:cs="黑体"/>
                <w:color w:val="000000" w:themeColor="text1"/>
                <w:sz w:val="24"/>
              </w:rPr>
              <w:t>序号</w:t>
            </w:r>
          </w:p>
        </w:tc>
        <w:tc>
          <w:tcPr>
            <w:tcW w:w="3865" w:type="dxa"/>
            <w:vAlign w:val="center"/>
          </w:tcPr>
          <w:p>
            <w:pPr>
              <w:spacing w:line="400" w:lineRule="exact"/>
              <w:jc w:val="center"/>
              <w:rPr>
                <w:rFonts w:ascii="黑体" w:hAnsi="黑体" w:eastAsia="黑体" w:cs="黑体"/>
                <w:b/>
                <w:bCs/>
                <w:color w:val="000000" w:themeColor="text1"/>
                <w:sz w:val="24"/>
              </w:rPr>
            </w:pPr>
            <w:r>
              <w:rPr>
                <w:rFonts w:hint="eastAsia" w:ascii="黑体" w:hAnsi="黑体" w:eastAsia="黑体" w:cs="黑体"/>
                <w:color w:val="000000" w:themeColor="text1"/>
                <w:sz w:val="24"/>
              </w:rPr>
              <w:t>检 查 项 目</w:t>
            </w:r>
          </w:p>
        </w:tc>
        <w:tc>
          <w:tcPr>
            <w:tcW w:w="5747" w:type="dxa"/>
            <w:vAlign w:val="center"/>
          </w:tcPr>
          <w:p>
            <w:pPr>
              <w:spacing w:line="400" w:lineRule="exact"/>
              <w:jc w:val="center"/>
              <w:rPr>
                <w:rFonts w:ascii="黑体" w:hAnsi="黑体" w:eastAsia="黑体" w:cs="黑体"/>
                <w:b/>
                <w:bCs/>
                <w:color w:val="000000" w:themeColor="text1"/>
                <w:sz w:val="24"/>
              </w:rPr>
            </w:pPr>
            <w:r>
              <w:rPr>
                <w:rFonts w:hint="eastAsia" w:ascii="黑体" w:hAnsi="黑体" w:eastAsia="黑体" w:cs="黑体"/>
                <w:color w:val="000000" w:themeColor="text1"/>
                <w:sz w:val="24"/>
              </w:rPr>
              <w:t>检查标准</w:t>
            </w:r>
          </w:p>
        </w:tc>
        <w:tc>
          <w:tcPr>
            <w:tcW w:w="1701" w:type="dxa"/>
            <w:vAlign w:val="center"/>
          </w:tcPr>
          <w:p>
            <w:pPr>
              <w:spacing w:line="40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落实情况</w:t>
            </w:r>
          </w:p>
        </w:tc>
        <w:tc>
          <w:tcPr>
            <w:tcW w:w="1351" w:type="dxa"/>
            <w:vAlign w:val="center"/>
          </w:tcPr>
          <w:p>
            <w:pPr>
              <w:spacing w:line="40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835" w:type="dxa"/>
            <w:vMerge w:val="restart"/>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1</w:t>
            </w:r>
          </w:p>
        </w:tc>
        <w:tc>
          <w:tcPr>
            <w:tcW w:w="3865" w:type="dxa"/>
            <w:vMerge w:val="restart"/>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施工现场消防安全情况</w:t>
            </w: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对正常施工项目，临时消防设施与在建工程的施工是否同步设置，动火作业是否进行审批和监护，仓库、办公区、生活区防火措施是否落实，工地食堂的液化气使用是否安全。</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center"/>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835" w:type="dxa"/>
            <w:vMerge w:val="continue"/>
            <w:vAlign w:val="center"/>
          </w:tcPr>
          <w:p>
            <w:pPr>
              <w:spacing w:line="300" w:lineRule="exact"/>
              <w:jc w:val="left"/>
              <w:rPr>
                <w:color w:val="000000" w:themeColor="text1"/>
              </w:rPr>
            </w:pPr>
          </w:p>
        </w:tc>
        <w:tc>
          <w:tcPr>
            <w:tcW w:w="3865" w:type="dxa"/>
            <w:vMerge w:val="continue"/>
            <w:vAlign w:val="center"/>
          </w:tcPr>
          <w:p>
            <w:pPr>
              <w:spacing w:line="300" w:lineRule="exact"/>
              <w:jc w:val="left"/>
              <w:rPr>
                <w:color w:val="000000" w:themeColor="text1"/>
              </w:rPr>
            </w:pP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对停工项目，机具设备、闸电设施是否处于安全状态，重点防火部位或区域是否设置防火警示标识，是否严禁闲杂人员随意进场，是否安排专人值班、巡检。</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left"/>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835" w:type="dxa"/>
            <w:vMerge w:val="continue"/>
            <w:vAlign w:val="center"/>
          </w:tcPr>
          <w:p>
            <w:pPr>
              <w:spacing w:line="300" w:lineRule="exact"/>
              <w:jc w:val="left"/>
              <w:rPr>
                <w:rFonts w:ascii="仿宋_GB2312" w:hAnsi="仿宋_GB2312" w:eastAsia="仿宋_GB2312" w:cs="仿宋_GB2312"/>
                <w:color w:val="000000" w:themeColor="text1"/>
                <w:sz w:val="22"/>
                <w:szCs w:val="22"/>
              </w:rPr>
            </w:pPr>
          </w:p>
        </w:tc>
        <w:tc>
          <w:tcPr>
            <w:tcW w:w="3865" w:type="dxa"/>
            <w:vMerge w:val="continue"/>
            <w:vAlign w:val="center"/>
          </w:tcPr>
          <w:p>
            <w:pPr>
              <w:spacing w:line="300" w:lineRule="exact"/>
              <w:jc w:val="left"/>
              <w:rPr>
                <w:rFonts w:ascii="仿宋_GB2312" w:hAnsi="仿宋_GB2312" w:eastAsia="仿宋_GB2312" w:cs="仿宋_GB2312"/>
                <w:color w:val="000000" w:themeColor="text1"/>
                <w:sz w:val="22"/>
                <w:szCs w:val="22"/>
              </w:rPr>
            </w:pP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对停工整改项目，是否落实每日巡查、每日报告，发现问题及时处置，是否真正停工、是否已落实整改措施。</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left"/>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2</w:t>
            </w:r>
          </w:p>
        </w:tc>
        <w:tc>
          <w:tcPr>
            <w:tcW w:w="3865" w:type="dxa"/>
            <w:vAlign w:val="center"/>
          </w:tcPr>
          <w:p>
            <w:pPr>
              <w:spacing w:line="300" w:lineRule="exact"/>
              <w:jc w:val="lef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关键岗位人员资格与到岗履职情况。</w:t>
            </w:r>
          </w:p>
        </w:tc>
        <w:tc>
          <w:tcPr>
            <w:tcW w:w="5747" w:type="dxa"/>
            <w:vAlign w:val="center"/>
          </w:tcPr>
          <w:p>
            <w:pPr>
              <w:spacing w:line="300" w:lineRule="exact"/>
              <w:jc w:val="lef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对正常施工项目，施工单位项目负责人、项目安全总监、监理单位项目总监理工程师等关键岗位人员是否持证上岗，到岗履职；电工、电焊工、架子工、起重信号司索工、起重机械司机、起重机械安装拆卸工、高处作业吊篮安装拆卸工等特种作业人员是否持证上岗。</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center"/>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3</w:t>
            </w:r>
          </w:p>
        </w:tc>
        <w:tc>
          <w:tcPr>
            <w:tcW w:w="3865"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高处作业防护措施搭设情况。</w:t>
            </w: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楼梯、屋面、阳台等位置临边防护是否符合要求，外脚手架、操作平台等操作面是否设置防护栏杆，边长大于1500mm的水平洞口是否搭设防护栏杆、是否设置平面防护，垂直交叉作业范围内是否设置防护措施。</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center"/>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4</w:t>
            </w:r>
          </w:p>
        </w:tc>
        <w:tc>
          <w:tcPr>
            <w:tcW w:w="3865"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脚手架搭设情况。</w:t>
            </w: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落地式脚手架是否按照专项施工方案搭设，作业层脚手板是否满铺且脚手板下采用安全平网兜底；悬挑脚手架底层与建筑物的间隙封闭是否严密，悬挑工字钢锚固端固定是否牢固；吊篮安全锁是否正常、安全绳是否固定至可靠位置、平台周边是否设置挡脚板。</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center"/>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5</w:t>
            </w:r>
          </w:p>
        </w:tc>
        <w:tc>
          <w:tcPr>
            <w:tcW w:w="3865"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模板支架搭设情况。</w:t>
            </w: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立杆底部是否设置底座、顶部自由端是否超长，架体立杆间距、步距是否过大、超出专项施工方案要求，支撑体系是否独立搭设、是否与外架相连。</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center"/>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6</w:t>
            </w:r>
          </w:p>
        </w:tc>
        <w:tc>
          <w:tcPr>
            <w:tcW w:w="3865"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起重机械安全装置情况。</w:t>
            </w: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塔吊主电缆是否采取绝缘固定措施，起重量限制器、起重力矩限制器、回转限位器等安全装置是否正常使用。</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center"/>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7</w:t>
            </w:r>
          </w:p>
        </w:tc>
        <w:tc>
          <w:tcPr>
            <w:tcW w:w="3865"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基坑支护情况。</w:t>
            </w: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基坑开挖、放坡、支护是否符合专项施工方案要求，是否采取合理有效的降排水措施，是否按要求进行基坑工程检测。</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center"/>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8</w:t>
            </w:r>
          </w:p>
        </w:tc>
        <w:tc>
          <w:tcPr>
            <w:tcW w:w="3865" w:type="dxa"/>
            <w:vAlign w:val="center"/>
          </w:tcPr>
          <w:p>
            <w:pPr>
              <w:spacing w:line="300" w:lineRule="exact"/>
              <w:jc w:val="lef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高风险作业审批情况。</w:t>
            </w:r>
          </w:p>
        </w:tc>
        <w:tc>
          <w:tcPr>
            <w:tcW w:w="5747" w:type="dxa"/>
            <w:vAlign w:val="center"/>
          </w:tcPr>
          <w:p>
            <w:pPr>
              <w:widowControl/>
              <w:spacing w:line="300" w:lineRule="exact"/>
              <w:jc w:val="lef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施工现场的动火、有限空间等高风险作业是否审批，是否配备监护人员。</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jc w:val="center"/>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3" w:hRule="exac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9</w:t>
            </w:r>
          </w:p>
        </w:tc>
        <w:tc>
          <w:tcPr>
            <w:tcW w:w="3865"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临时用电设施绝缘设置情况。</w:t>
            </w: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现场配电箱是否采取接地措施，用电设备是否存在一闸多机，安全距离以内外电线路是否采取隔离措施，外脚手架等位置线缆是否绝缘挂设。</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rPr>
                <w:rFonts w:ascii="仿宋_GB2312" w:hAnsi="仿宋_GB2312" w:eastAsia="仿宋_GB2312" w:cs="仿宋_GB2312"/>
                <w:color w:val="000000" w:themeColor="text1"/>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exact"/>
          <w:jc w:val="center"/>
        </w:trPr>
        <w:tc>
          <w:tcPr>
            <w:tcW w:w="835" w:type="dxa"/>
            <w:vAlign w:val="center"/>
          </w:tcPr>
          <w:p>
            <w:pPr>
              <w:spacing w:line="300" w:lineRule="exact"/>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10</w:t>
            </w:r>
          </w:p>
        </w:tc>
        <w:tc>
          <w:tcPr>
            <w:tcW w:w="3865" w:type="dxa"/>
            <w:vAlign w:val="center"/>
          </w:tcPr>
          <w:p>
            <w:pPr>
              <w:spacing w:line="300" w:lineRule="exact"/>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视频汇聚情况。</w:t>
            </w:r>
          </w:p>
        </w:tc>
        <w:tc>
          <w:tcPr>
            <w:tcW w:w="5747" w:type="dxa"/>
            <w:vAlign w:val="center"/>
          </w:tcPr>
          <w:p>
            <w:pPr>
              <w:spacing w:line="300" w:lineRule="exact"/>
              <w:jc w:val="left"/>
              <w:rPr>
                <w:rFonts w:ascii="仿宋_GB2312" w:hAnsi="仿宋_GB2312" w:eastAsia="仿宋_GB2312" w:cs="仿宋_GB2312"/>
                <w:color w:val="000000" w:themeColor="text1"/>
                <w:sz w:val="22"/>
                <w:szCs w:val="22"/>
              </w:rPr>
            </w:pPr>
            <w:r>
              <w:rPr>
                <w:rFonts w:ascii="仿宋_GB2312" w:hAnsi="仿宋_GB2312" w:eastAsia="仿宋_GB2312" w:cs="仿宋_GB2312"/>
                <w:color w:val="000000" w:themeColor="text1"/>
                <w:sz w:val="22"/>
                <w:szCs w:val="22"/>
              </w:rPr>
              <w:t>是否能实现视频汇聚</w:t>
            </w:r>
            <w:r>
              <w:rPr>
                <w:rFonts w:hint="eastAsia" w:ascii="仿宋_GB2312" w:hAnsi="仿宋_GB2312" w:eastAsia="仿宋_GB2312" w:cs="仿宋_GB2312"/>
                <w:color w:val="000000" w:themeColor="text1"/>
                <w:sz w:val="22"/>
                <w:szCs w:val="22"/>
              </w:rPr>
              <w:t>。</w:t>
            </w:r>
          </w:p>
        </w:tc>
        <w:tc>
          <w:tcPr>
            <w:tcW w:w="1701" w:type="dxa"/>
            <w:vAlign w:val="center"/>
          </w:tcPr>
          <w:p>
            <w:pPr>
              <w:spacing w:line="280" w:lineRule="exac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2"/>
                <w:szCs w:val="22"/>
              </w:rPr>
              <w:t>□已落实</w:t>
            </w:r>
          </w:p>
          <w:p>
            <w:pPr>
              <w:spacing w:line="280" w:lineRule="exac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□未落实到位</w:t>
            </w:r>
          </w:p>
        </w:tc>
        <w:tc>
          <w:tcPr>
            <w:tcW w:w="1351" w:type="dxa"/>
            <w:vAlign w:val="center"/>
          </w:tcPr>
          <w:p>
            <w:pPr>
              <w:spacing w:line="300" w:lineRule="exact"/>
              <w:rPr>
                <w:rFonts w:ascii="仿宋_GB2312" w:hAnsi="仿宋_GB2312" w:eastAsia="仿宋_GB2312" w:cs="仿宋_GB2312"/>
                <w:color w:val="000000" w:themeColor="text1"/>
                <w:sz w:val="22"/>
                <w:szCs w:val="22"/>
              </w:rPr>
            </w:pPr>
          </w:p>
        </w:tc>
      </w:tr>
    </w:tbl>
    <w:p>
      <w:pPr>
        <w:spacing w:line="360" w:lineRule="auto"/>
        <w:rPr>
          <w:rFonts w:ascii="黑体" w:hAnsi="黑体" w:eastAsia="黑体" w:cs="黑体"/>
          <w:color w:val="000000" w:themeColor="text1"/>
          <w:sz w:val="32"/>
          <w:szCs w:val="32"/>
        </w:rPr>
      </w:pPr>
      <w:r>
        <w:rPr>
          <w:rFonts w:hint="eastAsia"/>
          <w:color w:val="000000" w:themeColor="text1"/>
          <w:sz w:val="24"/>
        </w:rPr>
        <w:t>检查组专家签字：                                   受检项目负责人签字：</w:t>
      </w:r>
    </w:p>
    <w:p>
      <w:pPr>
        <w:rPr>
          <w:color w:val="000000" w:themeColor="text1"/>
        </w:rPr>
      </w:pPr>
    </w:p>
    <w:p>
      <w:pPr>
        <w:pStyle w:val="8"/>
        <w:rPr>
          <w:color w:val="000000" w:themeColor="text1"/>
        </w:rPr>
        <w:sectPr>
          <w:pgSz w:w="16838" w:h="11906" w:orient="landscape"/>
          <w:pgMar w:top="1542" w:right="1440" w:bottom="1542" w:left="1440" w:header="851" w:footer="851" w:gutter="0"/>
          <w:cols w:space="0" w:num="1"/>
          <w:docGrid w:type="linesAndChars" w:linePitch="312" w:charSpace="0"/>
        </w:sectPr>
      </w:pPr>
    </w:p>
    <w:p>
      <w:pPr>
        <w:spacing w:line="578" w:lineRule="exact"/>
        <w:ind w:firstLine="640" w:firstLineChars="200"/>
        <w:rPr>
          <w:rFonts w:ascii="仿宋_GB2312" w:hAnsi="仿宋_GB2312" w:eastAsia="仿宋_GB2312" w:cs="仿宋_GB2312"/>
          <w:color w:val="000000" w:themeColor="text1"/>
          <w:sz w:val="32"/>
          <w:szCs w:val="32"/>
        </w:rPr>
      </w:pPr>
    </w:p>
    <w:p>
      <w:pPr>
        <w:spacing w:line="578" w:lineRule="exact"/>
        <w:jc w:val="center"/>
        <w:outlineLvl w:val="1"/>
        <w:rPr>
          <w:rFonts w:ascii="黑体" w:hAnsi="黑体" w:eastAsia="黑体" w:cs="黑体"/>
          <w:color w:val="000000" w:themeColor="text1"/>
          <w:sz w:val="32"/>
          <w:szCs w:val="32"/>
        </w:rPr>
      </w:pPr>
      <w:bookmarkStart w:id="21" w:name="_Toc31838"/>
      <w:r>
        <w:rPr>
          <w:rFonts w:hint="eastAsia" w:ascii="黑体" w:hAnsi="黑体" w:eastAsia="黑体" w:cs="黑体"/>
          <w:color w:val="000000" w:themeColor="text1"/>
          <w:sz w:val="32"/>
          <w:szCs w:val="32"/>
        </w:rPr>
        <w:t>（三）</w:t>
      </w:r>
      <w:bookmarkEnd w:id="15"/>
      <w:bookmarkEnd w:id="16"/>
      <w:bookmarkEnd w:id="17"/>
      <w:bookmarkEnd w:id="18"/>
      <w:r>
        <w:rPr>
          <w:rFonts w:hint="eastAsia" w:ascii="黑体" w:hAnsi="黑体" w:eastAsia="黑体" w:cs="黑体"/>
          <w:color w:val="000000" w:themeColor="text1"/>
          <w:sz w:val="32"/>
          <w:szCs w:val="32"/>
        </w:rPr>
        <w:t>城乡房屋</w:t>
      </w:r>
      <w:bookmarkEnd w:id="19"/>
      <w:r>
        <w:rPr>
          <w:rFonts w:hint="eastAsia" w:ascii="黑体" w:hAnsi="黑体" w:eastAsia="黑体" w:cs="黑体"/>
          <w:color w:val="000000" w:themeColor="text1"/>
          <w:sz w:val="32"/>
          <w:szCs w:val="32"/>
        </w:rPr>
        <w:t>建筑方面</w:t>
      </w:r>
      <w:bookmarkEnd w:id="21"/>
    </w:p>
    <w:p>
      <w:pPr>
        <w:spacing w:line="578" w:lineRule="exact"/>
        <w:jc w:val="center"/>
        <w:rPr>
          <w:rFonts w:ascii="楷体_GB2312" w:hAnsi="楷体_GB2312" w:eastAsia="楷体_GB2312" w:cs="楷体_GB2312"/>
          <w:b/>
          <w:bCs/>
          <w:color w:val="000000" w:themeColor="text1"/>
          <w:sz w:val="32"/>
          <w:szCs w:val="32"/>
        </w:rPr>
      </w:pP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一、重点帮扶内容</w:t>
      </w:r>
    </w:p>
    <w:p>
      <w:pPr>
        <w:pStyle w:val="12"/>
        <w:spacing w:line="578" w:lineRule="exact"/>
        <w:ind w:firstLine="640" w:firstLineChars="200"/>
        <w:rPr>
          <w:color w:val="000000" w:themeColor="text1"/>
          <w:sz w:val="32"/>
        </w:rPr>
      </w:pPr>
      <w:r>
        <w:rPr>
          <w:rFonts w:hint="eastAsia"/>
          <w:color w:val="000000" w:themeColor="text1"/>
          <w:sz w:val="32"/>
        </w:rPr>
        <w:t>1.经营性自建房重点检查隐患是否全部整治、整治是否彻底，是不是真正落实了整治措施，有无“漏报”“瞒报”、整治弄虚作假的现象；2.非经营性自建房重点检查底数是否全部摸清、房屋属性录入有无偏差、录入照片是否精准、房屋安全性初判是否准确、C、D级危房管控是不是严格到位、有没有擅自解封使用等情况；3.针对国家第三方现场核查、四进工作队巡查、省委审计办审计调查、包市督导以及省自建房专班线上巡检等发现的问题（台账由被检市负责提供），是否逐一抓好整改，举一反三，做到问题整改“动态清零”；4.长效机制重点查看是否建立并完善城乡房屋安全管理制度体系。</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二、检查方式</w:t>
      </w:r>
    </w:p>
    <w:p>
      <w:pPr>
        <w:adjustRightInd w:val="0"/>
        <w:snapToGrid w:val="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采取查阅资料、实地走访、现场比对等方式进行，每市检查不少于2个县（市、区），每个县（市、区）不少于2个乡镇（街道），每个乡镇（街道）抽查不少于4栋自建房（经营性自建房不少于2栋）。重点查阅是否按照按工作节点推进工作，定期通报工作情况，C、D级房屋是否按照一房一策的要求精准制定整治措施，隐患房屋的鉴定报告是否符合规定，是否建立多部门协调联动机制。实地走访可从市主管部门台账随机抽取或扫马路方式确定，检查是否纳入信息平台管理，是否落实相关安全措施，是否仍存在隐患，对停止使用的自建房，是否采取管控措施。现场比对的自建房可从当地的自建房安全专项整治信息归集平台中随机确定，重点对抽取的销号房屋现场核实，是否采取工程措施，如未采取，请当地部门说明原因，督促工作进度，是否存在以无隐患销号代替工程措施销号；抽取的系统内一般房屋，初判安全隐患是否准确，信息录入是否准确。</w:t>
      </w:r>
    </w:p>
    <w:p>
      <w:pPr>
        <w:adjustRightInd w:val="0"/>
        <w:snapToGrid w:val="0"/>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联络员：杨吉瑞  15153118101</w:t>
      </w:r>
    </w:p>
    <w:p>
      <w:pPr>
        <w:spacing w:line="360" w:lineRule="auto"/>
        <w:jc w:val="center"/>
        <w:rPr>
          <w:rFonts w:ascii="楷体" w:hAnsi="楷体" w:eastAsia="楷体" w:cs="楷体"/>
          <w:color w:val="000000" w:themeColor="text1"/>
          <w:spacing w:val="-11"/>
          <w:sz w:val="32"/>
          <w:szCs w:val="32"/>
        </w:rPr>
      </w:pPr>
    </w:p>
    <w:p>
      <w:pPr>
        <w:spacing w:line="360" w:lineRule="auto"/>
        <w:jc w:val="center"/>
        <w:rPr>
          <w:rFonts w:ascii="楷体" w:hAnsi="楷体" w:eastAsia="楷体" w:cs="楷体"/>
          <w:b/>
          <w:bCs/>
          <w:color w:val="000000" w:themeColor="text1"/>
          <w:sz w:val="36"/>
          <w:szCs w:val="36"/>
        </w:rPr>
      </w:pPr>
    </w:p>
    <w:p>
      <w:pPr>
        <w:rPr>
          <w:color w:val="000000" w:themeColor="text1"/>
        </w:rPr>
        <w:sectPr>
          <w:pgSz w:w="11906" w:h="16838"/>
          <w:pgMar w:top="1440" w:right="1542" w:bottom="1440" w:left="1542" w:header="851" w:footer="851" w:gutter="0"/>
          <w:cols w:space="0" w:num="1"/>
          <w:docGrid w:type="linesAndChars" w:linePitch="312" w:charSpace="0"/>
        </w:sectPr>
      </w:pPr>
    </w:p>
    <w:p>
      <w:pPr>
        <w:spacing w:line="600" w:lineRule="exact"/>
        <w:jc w:val="center"/>
        <w:rPr>
          <w:rFonts w:ascii="方正小标宋简体" w:hAnsi="方正小标宋简体" w:eastAsia="方正小标宋简体" w:cs="方正小标宋简体"/>
          <w:color w:val="000000" w:themeColor="text1"/>
          <w:sz w:val="44"/>
          <w:szCs w:val="44"/>
        </w:rPr>
      </w:pPr>
      <w:bookmarkStart w:id="22" w:name="_Toc24034"/>
      <w:r>
        <w:rPr>
          <w:rFonts w:hint="eastAsia" w:ascii="方正小标宋简体" w:hAnsi="方正小标宋简体" w:eastAsia="方正小标宋简体" w:cs="方正小标宋简体"/>
          <w:color w:val="000000" w:themeColor="text1"/>
          <w:sz w:val="44"/>
          <w:szCs w:val="44"/>
        </w:rPr>
        <w:t>自建房现场督导房屋台账</w:t>
      </w:r>
    </w:p>
    <w:p>
      <w:pPr>
        <w:spacing w:line="600" w:lineRule="exact"/>
        <w:rPr>
          <w:rFonts w:ascii="宋体" w:hAnsi="宋体" w:eastAsia="宋体" w:cs="宋体"/>
          <w:color w:val="000000" w:themeColor="text1"/>
          <w:sz w:val="24"/>
        </w:rPr>
      </w:pPr>
      <w:r>
        <w:rPr>
          <w:rFonts w:hint="eastAsia"/>
          <w:color w:val="000000" w:themeColor="text1"/>
          <w:sz w:val="24"/>
        </w:rPr>
        <w:t xml:space="preserve">地市：     </w:t>
      </w:r>
      <w:r>
        <w:rPr>
          <w:rFonts w:hint="eastAsia" w:ascii="宋体" w:hAnsi="宋体" w:eastAsia="宋体" w:cs="宋体"/>
          <w:color w:val="000000" w:themeColor="text1"/>
          <w:sz w:val="24"/>
        </w:rPr>
        <w:t>县（市区）</w:t>
      </w:r>
      <w:r>
        <w:rPr>
          <w:rFonts w:hint="eastAsia"/>
          <w:color w:val="000000" w:themeColor="text1"/>
          <w:sz w:val="24"/>
        </w:rPr>
        <w:t>乡镇（街道）：                      日期：     年   月   日</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82"/>
        <w:gridCol w:w="1308"/>
        <w:gridCol w:w="1613"/>
        <w:gridCol w:w="1231"/>
        <w:gridCol w:w="1188"/>
        <w:gridCol w:w="2436"/>
        <w:gridCol w:w="2292"/>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0" w:type="auto"/>
            <w:vAlign w:val="center"/>
          </w:tcPr>
          <w:p>
            <w:pPr>
              <w:spacing w:line="36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序号</w:t>
            </w:r>
          </w:p>
        </w:tc>
        <w:tc>
          <w:tcPr>
            <w:tcW w:w="1182" w:type="dxa"/>
            <w:vAlign w:val="center"/>
          </w:tcPr>
          <w:p>
            <w:pPr>
              <w:spacing w:line="36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房屋选取方式</w:t>
            </w:r>
          </w:p>
        </w:tc>
        <w:tc>
          <w:tcPr>
            <w:tcW w:w="1308" w:type="dxa"/>
            <w:vAlign w:val="center"/>
          </w:tcPr>
          <w:p>
            <w:pPr>
              <w:spacing w:line="36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产权人</w:t>
            </w:r>
          </w:p>
        </w:tc>
        <w:tc>
          <w:tcPr>
            <w:tcW w:w="1613" w:type="dxa"/>
            <w:vAlign w:val="center"/>
          </w:tcPr>
          <w:p>
            <w:pPr>
              <w:spacing w:line="36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房屋编码</w:t>
            </w:r>
          </w:p>
        </w:tc>
        <w:tc>
          <w:tcPr>
            <w:tcW w:w="1231" w:type="dxa"/>
            <w:vAlign w:val="center"/>
          </w:tcPr>
          <w:p>
            <w:pPr>
              <w:spacing w:line="36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是否经营性自建房</w:t>
            </w:r>
          </w:p>
        </w:tc>
        <w:tc>
          <w:tcPr>
            <w:tcW w:w="1188" w:type="dxa"/>
            <w:vAlign w:val="center"/>
          </w:tcPr>
          <w:p>
            <w:pPr>
              <w:spacing w:line="36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是否存在安全隐患</w:t>
            </w:r>
          </w:p>
        </w:tc>
        <w:tc>
          <w:tcPr>
            <w:tcW w:w="2436" w:type="dxa"/>
            <w:vAlign w:val="center"/>
          </w:tcPr>
          <w:p>
            <w:pPr>
              <w:spacing w:line="360" w:lineRule="exact"/>
              <w:jc w:val="center"/>
              <w:rPr>
                <w:color w:val="000000" w:themeColor="text1"/>
                <w:sz w:val="24"/>
              </w:rPr>
            </w:pPr>
            <w:r>
              <w:rPr>
                <w:rFonts w:hint="eastAsia" w:ascii="黑体" w:hAnsi="黑体" w:eastAsia="黑体" w:cs="黑体"/>
                <w:color w:val="000000" w:themeColor="text1"/>
                <w:sz w:val="24"/>
              </w:rPr>
              <w:t>工作落实情况（选取管理措施说明原因）</w:t>
            </w:r>
          </w:p>
        </w:tc>
        <w:tc>
          <w:tcPr>
            <w:tcW w:w="2292" w:type="dxa"/>
            <w:vAlign w:val="center"/>
          </w:tcPr>
          <w:p>
            <w:pPr>
              <w:spacing w:line="36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存在问题</w:t>
            </w:r>
          </w:p>
        </w:tc>
        <w:tc>
          <w:tcPr>
            <w:tcW w:w="1047" w:type="dxa"/>
            <w:vAlign w:val="center"/>
          </w:tcPr>
          <w:p>
            <w:pPr>
              <w:spacing w:line="360" w:lineRule="exact"/>
              <w:jc w:val="center"/>
              <w:rPr>
                <w:rFonts w:ascii="黑体" w:hAnsi="黑体" w:eastAsia="黑体" w:cs="黑体"/>
                <w:color w:val="000000" w:themeColor="text1"/>
                <w:sz w:val="24"/>
              </w:rPr>
            </w:pPr>
            <w:r>
              <w:rPr>
                <w:rFonts w:hint="eastAsia" w:ascii="黑体" w:hAnsi="黑体" w:eastAsia="黑体" w:cs="黑体"/>
                <w:color w:val="000000" w:themeColor="text1"/>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0" w:type="auto"/>
            <w:vAlign w:val="center"/>
          </w:tcPr>
          <w:p>
            <w:pPr>
              <w:spacing w:line="600" w:lineRule="exact"/>
              <w:jc w:val="center"/>
              <w:rPr>
                <w:rFonts w:ascii="仿宋_GB2312" w:hAnsi="仿宋_GB2312" w:eastAsia="仿宋_GB2312" w:cs="仿宋_GB2312"/>
                <w:color w:val="000000" w:themeColor="text1"/>
                <w:sz w:val="24"/>
              </w:rPr>
            </w:pPr>
            <w:r>
              <w:rPr>
                <w:rFonts w:hint="eastAsia" w:ascii="仿宋_GB2312" w:hAnsi="仿宋_GB2312" w:eastAsia="仿宋_GB2312" w:cs="仿宋_GB2312"/>
                <w:color w:val="000000" w:themeColor="text1"/>
                <w:sz w:val="24"/>
              </w:rPr>
              <w:t>1</w:t>
            </w:r>
          </w:p>
        </w:tc>
        <w:tc>
          <w:tcPr>
            <w:tcW w:w="1182" w:type="dxa"/>
            <w:vMerge w:val="restart"/>
            <w:vAlign w:val="center"/>
          </w:tcPr>
          <w:p>
            <w:pPr>
              <w:spacing w:line="360" w:lineRule="exact"/>
              <w:jc w:val="center"/>
              <w:rPr>
                <w:rFonts w:ascii="仿宋_GB2312" w:hAnsi="仿宋_GB2312" w:eastAsia="仿宋_GB2312" w:cs="仿宋_GB2312"/>
                <w:color w:val="000000" w:themeColor="text1"/>
                <w:sz w:val="32"/>
                <w:szCs w:val="32"/>
              </w:rPr>
            </w:pPr>
            <w:r>
              <w:rPr>
                <w:rFonts w:hint="eastAsia" w:cs="仿宋_GB2312"/>
                <w:color w:val="000000" w:themeColor="text1"/>
                <w:sz w:val="24"/>
              </w:rPr>
              <w:t>系统内随机抽取</w:t>
            </w:r>
          </w:p>
        </w:tc>
        <w:tc>
          <w:tcPr>
            <w:tcW w:w="1308" w:type="dxa"/>
            <w:vAlign w:val="center"/>
          </w:tcPr>
          <w:p>
            <w:pPr>
              <w:spacing w:line="280" w:lineRule="exact"/>
              <w:jc w:val="center"/>
              <w:rPr>
                <w:rFonts w:ascii="仿宋_GB2312" w:hAnsi="仿宋_GB2312" w:eastAsia="仿宋_GB2312" w:cs="仿宋_GB2312"/>
                <w:color w:val="000000" w:themeColor="text1"/>
                <w:kern w:val="0"/>
                <w:szCs w:val="21"/>
              </w:rPr>
            </w:pPr>
          </w:p>
        </w:tc>
        <w:tc>
          <w:tcPr>
            <w:tcW w:w="1613" w:type="dxa"/>
            <w:vAlign w:val="center"/>
          </w:tcPr>
          <w:p>
            <w:pPr>
              <w:spacing w:line="280" w:lineRule="exact"/>
              <w:jc w:val="center"/>
              <w:rPr>
                <w:rFonts w:ascii="仿宋_GB2312" w:hAnsi="仿宋_GB2312" w:eastAsia="仿宋_GB2312" w:cs="仿宋_GB2312"/>
                <w:color w:val="000000" w:themeColor="text1"/>
                <w:kern w:val="0"/>
                <w:szCs w:val="21"/>
              </w:rPr>
            </w:pPr>
          </w:p>
        </w:tc>
        <w:tc>
          <w:tcPr>
            <w:tcW w:w="1231"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1188"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2436"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 xml:space="preserve">管理措施 </w:t>
            </w: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工程措施</w:t>
            </w:r>
          </w:p>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□未采取措施</w:t>
            </w:r>
          </w:p>
        </w:tc>
        <w:tc>
          <w:tcPr>
            <w:tcW w:w="2292" w:type="dxa"/>
            <w:vAlign w:val="center"/>
          </w:tcPr>
          <w:p>
            <w:pPr>
              <w:spacing w:line="280" w:lineRule="exact"/>
              <w:jc w:val="center"/>
              <w:rPr>
                <w:rFonts w:ascii="仿宋_GB2312" w:hAnsi="仿宋_GB2312" w:eastAsia="仿宋_GB2312" w:cs="仿宋_GB2312"/>
                <w:color w:val="000000" w:themeColor="text1"/>
                <w:kern w:val="0"/>
                <w:szCs w:val="21"/>
              </w:rPr>
            </w:pPr>
          </w:p>
        </w:tc>
        <w:tc>
          <w:tcPr>
            <w:tcW w:w="1047" w:type="dxa"/>
            <w:vAlign w:val="center"/>
          </w:tcPr>
          <w:p>
            <w:pPr>
              <w:spacing w:line="280" w:lineRule="exact"/>
              <w:jc w:val="center"/>
              <w:rPr>
                <w:rFonts w:ascii="仿宋_GB2312" w:hAnsi="仿宋_GB2312" w:eastAsia="仿宋_GB2312" w:cs="仿宋_GB2312"/>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0" w:type="auto"/>
            <w:vAlign w:val="center"/>
          </w:tcPr>
          <w:p>
            <w:pPr>
              <w:spacing w:line="600" w:lineRule="exact"/>
              <w:jc w:val="center"/>
              <w:rPr>
                <w:rFonts w:ascii="仿宋_GB2312" w:hAnsi="仿宋_GB2312" w:eastAsia="仿宋_GB2312" w:cs="仿宋_GB2312"/>
                <w:color w:val="000000" w:themeColor="text1"/>
                <w:sz w:val="24"/>
              </w:rPr>
            </w:pPr>
            <w:r>
              <w:rPr>
                <w:rFonts w:hint="eastAsia" w:ascii="仿宋_GB2312" w:hAnsi="仿宋_GB2312" w:eastAsia="仿宋_GB2312" w:cs="仿宋_GB2312"/>
                <w:color w:val="000000" w:themeColor="text1"/>
                <w:sz w:val="24"/>
              </w:rPr>
              <w:t>2</w:t>
            </w:r>
          </w:p>
        </w:tc>
        <w:tc>
          <w:tcPr>
            <w:tcW w:w="1182" w:type="dxa"/>
            <w:vMerge w:val="continue"/>
            <w:vAlign w:val="center"/>
          </w:tcPr>
          <w:p>
            <w:pPr>
              <w:spacing w:line="360" w:lineRule="exact"/>
              <w:jc w:val="center"/>
              <w:rPr>
                <w:rFonts w:ascii="仿宋_GB2312" w:hAnsi="仿宋_GB2312" w:eastAsia="仿宋_GB2312" w:cs="仿宋_GB2312"/>
                <w:color w:val="000000" w:themeColor="text1"/>
                <w:sz w:val="32"/>
                <w:szCs w:val="32"/>
              </w:rPr>
            </w:pPr>
          </w:p>
        </w:tc>
        <w:tc>
          <w:tcPr>
            <w:tcW w:w="1308" w:type="dxa"/>
            <w:vAlign w:val="center"/>
          </w:tcPr>
          <w:p>
            <w:pPr>
              <w:spacing w:line="280" w:lineRule="exact"/>
              <w:jc w:val="center"/>
              <w:rPr>
                <w:rFonts w:ascii="仿宋_GB2312" w:hAnsi="仿宋_GB2312" w:eastAsia="仿宋_GB2312" w:cs="仿宋_GB2312"/>
                <w:color w:val="000000" w:themeColor="text1"/>
                <w:kern w:val="0"/>
                <w:szCs w:val="21"/>
              </w:rPr>
            </w:pPr>
          </w:p>
        </w:tc>
        <w:tc>
          <w:tcPr>
            <w:tcW w:w="1613" w:type="dxa"/>
            <w:vAlign w:val="center"/>
          </w:tcPr>
          <w:p>
            <w:pPr>
              <w:spacing w:line="280" w:lineRule="exact"/>
              <w:jc w:val="center"/>
              <w:rPr>
                <w:rFonts w:ascii="仿宋_GB2312" w:hAnsi="仿宋_GB2312" w:eastAsia="仿宋_GB2312" w:cs="仿宋_GB2312"/>
                <w:color w:val="000000" w:themeColor="text1"/>
                <w:kern w:val="0"/>
                <w:szCs w:val="21"/>
              </w:rPr>
            </w:pPr>
          </w:p>
        </w:tc>
        <w:tc>
          <w:tcPr>
            <w:tcW w:w="1231"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1188"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2436"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 xml:space="preserve">管理措施 </w:t>
            </w: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工程措施</w:t>
            </w:r>
          </w:p>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□未采取措施</w:t>
            </w:r>
          </w:p>
        </w:tc>
        <w:tc>
          <w:tcPr>
            <w:tcW w:w="2292" w:type="dxa"/>
            <w:vAlign w:val="center"/>
          </w:tcPr>
          <w:p>
            <w:pPr>
              <w:spacing w:line="280" w:lineRule="exact"/>
              <w:jc w:val="center"/>
              <w:rPr>
                <w:rFonts w:ascii="仿宋_GB2312" w:hAnsi="仿宋_GB2312" w:eastAsia="仿宋_GB2312" w:cs="仿宋_GB2312"/>
                <w:color w:val="000000" w:themeColor="text1"/>
                <w:kern w:val="0"/>
                <w:szCs w:val="21"/>
              </w:rPr>
            </w:pPr>
          </w:p>
        </w:tc>
        <w:tc>
          <w:tcPr>
            <w:tcW w:w="1047" w:type="dxa"/>
            <w:vAlign w:val="center"/>
          </w:tcPr>
          <w:p>
            <w:pPr>
              <w:spacing w:line="280" w:lineRule="exact"/>
              <w:jc w:val="center"/>
              <w:rPr>
                <w:rFonts w:ascii="仿宋_GB2312" w:hAnsi="仿宋_GB2312" w:eastAsia="仿宋_GB2312" w:cs="仿宋_GB2312"/>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0" w:type="auto"/>
            <w:vAlign w:val="center"/>
          </w:tcPr>
          <w:p>
            <w:pPr>
              <w:spacing w:line="600" w:lineRule="exact"/>
              <w:jc w:val="center"/>
              <w:rPr>
                <w:rFonts w:ascii="仿宋_GB2312" w:hAnsi="仿宋_GB2312" w:eastAsia="仿宋_GB2312" w:cs="仿宋_GB2312"/>
                <w:color w:val="000000" w:themeColor="text1"/>
                <w:sz w:val="24"/>
              </w:rPr>
            </w:pPr>
            <w:r>
              <w:rPr>
                <w:rFonts w:hint="eastAsia" w:ascii="仿宋_GB2312" w:hAnsi="仿宋_GB2312" w:eastAsia="仿宋_GB2312" w:cs="仿宋_GB2312"/>
                <w:color w:val="000000" w:themeColor="text1"/>
                <w:sz w:val="24"/>
              </w:rPr>
              <w:t>3</w:t>
            </w:r>
          </w:p>
        </w:tc>
        <w:tc>
          <w:tcPr>
            <w:tcW w:w="1182" w:type="dxa"/>
            <w:vMerge w:val="restart"/>
            <w:vAlign w:val="center"/>
          </w:tcPr>
          <w:p>
            <w:pPr>
              <w:spacing w:line="360" w:lineRule="exact"/>
              <w:jc w:val="center"/>
              <w:rPr>
                <w:rFonts w:ascii="仿宋_GB2312" w:hAnsi="仿宋_GB2312" w:eastAsia="仿宋_GB2312" w:cs="仿宋_GB2312"/>
                <w:color w:val="000000" w:themeColor="text1"/>
                <w:sz w:val="32"/>
                <w:szCs w:val="32"/>
              </w:rPr>
            </w:pPr>
            <w:r>
              <w:rPr>
                <w:rFonts w:hint="eastAsia" w:cs="仿宋_GB2312"/>
                <w:color w:val="000000" w:themeColor="text1"/>
                <w:sz w:val="24"/>
              </w:rPr>
              <w:t>实地随机抽取</w:t>
            </w:r>
          </w:p>
        </w:tc>
        <w:tc>
          <w:tcPr>
            <w:tcW w:w="1308" w:type="dxa"/>
            <w:vAlign w:val="center"/>
          </w:tcPr>
          <w:p>
            <w:pPr>
              <w:spacing w:line="280" w:lineRule="exact"/>
              <w:jc w:val="center"/>
              <w:rPr>
                <w:rFonts w:ascii="仿宋_GB2312" w:hAnsi="仿宋_GB2312" w:eastAsia="仿宋_GB2312" w:cs="仿宋_GB2312"/>
                <w:color w:val="000000" w:themeColor="text1"/>
                <w:kern w:val="0"/>
                <w:szCs w:val="21"/>
              </w:rPr>
            </w:pPr>
          </w:p>
        </w:tc>
        <w:tc>
          <w:tcPr>
            <w:tcW w:w="1613" w:type="dxa"/>
            <w:vAlign w:val="center"/>
          </w:tcPr>
          <w:p>
            <w:pPr>
              <w:spacing w:line="280" w:lineRule="exact"/>
              <w:jc w:val="center"/>
              <w:rPr>
                <w:rFonts w:ascii="仿宋_GB2312" w:hAnsi="仿宋_GB2312" w:eastAsia="仿宋_GB2312" w:cs="仿宋_GB2312"/>
                <w:color w:val="000000" w:themeColor="text1"/>
                <w:kern w:val="0"/>
                <w:szCs w:val="21"/>
              </w:rPr>
            </w:pPr>
          </w:p>
        </w:tc>
        <w:tc>
          <w:tcPr>
            <w:tcW w:w="1231"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1188"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2436"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 xml:space="preserve">管理措施 </w:t>
            </w: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工程措施</w:t>
            </w:r>
          </w:p>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□未采取措施</w:t>
            </w:r>
          </w:p>
        </w:tc>
        <w:tc>
          <w:tcPr>
            <w:tcW w:w="2292" w:type="dxa"/>
            <w:vAlign w:val="center"/>
          </w:tcPr>
          <w:p>
            <w:pPr>
              <w:spacing w:line="280" w:lineRule="exact"/>
              <w:jc w:val="center"/>
              <w:rPr>
                <w:rFonts w:ascii="仿宋_GB2312" w:hAnsi="仿宋_GB2312" w:eastAsia="仿宋_GB2312" w:cs="仿宋_GB2312"/>
                <w:color w:val="000000" w:themeColor="text1"/>
                <w:kern w:val="0"/>
                <w:szCs w:val="21"/>
              </w:rPr>
            </w:pPr>
          </w:p>
        </w:tc>
        <w:tc>
          <w:tcPr>
            <w:tcW w:w="1047" w:type="dxa"/>
            <w:vAlign w:val="center"/>
          </w:tcPr>
          <w:p>
            <w:pPr>
              <w:spacing w:line="280" w:lineRule="exact"/>
              <w:jc w:val="center"/>
              <w:rPr>
                <w:rFonts w:ascii="仿宋_GB2312" w:hAnsi="仿宋_GB2312" w:eastAsia="仿宋_GB2312" w:cs="仿宋_GB2312"/>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0" w:type="auto"/>
            <w:vAlign w:val="center"/>
          </w:tcPr>
          <w:p>
            <w:pPr>
              <w:spacing w:line="600" w:lineRule="exact"/>
              <w:jc w:val="center"/>
              <w:rPr>
                <w:rFonts w:ascii="仿宋_GB2312" w:hAnsi="仿宋_GB2312" w:eastAsia="仿宋_GB2312" w:cs="仿宋_GB2312"/>
                <w:color w:val="000000" w:themeColor="text1"/>
                <w:sz w:val="24"/>
              </w:rPr>
            </w:pPr>
            <w:r>
              <w:rPr>
                <w:rFonts w:hint="eastAsia" w:ascii="仿宋_GB2312" w:hAnsi="仿宋_GB2312" w:eastAsia="仿宋_GB2312" w:cs="仿宋_GB2312"/>
                <w:color w:val="000000" w:themeColor="text1"/>
                <w:sz w:val="24"/>
              </w:rPr>
              <w:t>4</w:t>
            </w:r>
          </w:p>
        </w:tc>
        <w:tc>
          <w:tcPr>
            <w:tcW w:w="1182" w:type="dxa"/>
            <w:vMerge w:val="continue"/>
            <w:vAlign w:val="center"/>
          </w:tcPr>
          <w:p>
            <w:pPr>
              <w:spacing w:line="360" w:lineRule="exact"/>
              <w:jc w:val="center"/>
              <w:rPr>
                <w:rFonts w:ascii="仿宋_GB2312" w:hAnsi="仿宋_GB2312" w:eastAsia="仿宋_GB2312" w:cs="仿宋_GB2312"/>
                <w:color w:val="000000" w:themeColor="text1"/>
                <w:sz w:val="32"/>
                <w:szCs w:val="32"/>
              </w:rPr>
            </w:pPr>
          </w:p>
        </w:tc>
        <w:tc>
          <w:tcPr>
            <w:tcW w:w="1308" w:type="dxa"/>
            <w:vAlign w:val="center"/>
          </w:tcPr>
          <w:p>
            <w:pPr>
              <w:spacing w:line="280" w:lineRule="exact"/>
              <w:jc w:val="center"/>
              <w:rPr>
                <w:rFonts w:ascii="仿宋_GB2312" w:hAnsi="仿宋_GB2312" w:eastAsia="仿宋_GB2312" w:cs="仿宋_GB2312"/>
                <w:color w:val="000000" w:themeColor="text1"/>
                <w:kern w:val="0"/>
                <w:szCs w:val="21"/>
              </w:rPr>
            </w:pPr>
          </w:p>
        </w:tc>
        <w:tc>
          <w:tcPr>
            <w:tcW w:w="1613" w:type="dxa"/>
            <w:vAlign w:val="center"/>
          </w:tcPr>
          <w:p>
            <w:pPr>
              <w:spacing w:line="280" w:lineRule="exact"/>
              <w:jc w:val="center"/>
              <w:rPr>
                <w:rFonts w:ascii="仿宋_GB2312" w:hAnsi="仿宋_GB2312" w:eastAsia="仿宋_GB2312" w:cs="仿宋_GB2312"/>
                <w:color w:val="000000" w:themeColor="text1"/>
                <w:kern w:val="0"/>
                <w:szCs w:val="21"/>
              </w:rPr>
            </w:pPr>
          </w:p>
        </w:tc>
        <w:tc>
          <w:tcPr>
            <w:tcW w:w="1231"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1188"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2436"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 xml:space="preserve">管理措施 </w:t>
            </w: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工程措施</w:t>
            </w:r>
          </w:p>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□未采取措施</w:t>
            </w:r>
          </w:p>
        </w:tc>
        <w:tc>
          <w:tcPr>
            <w:tcW w:w="2292" w:type="dxa"/>
            <w:vAlign w:val="center"/>
          </w:tcPr>
          <w:p>
            <w:pPr>
              <w:spacing w:line="280" w:lineRule="exact"/>
              <w:jc w:val="center"/>
              <w:rPr>
                <w:rFonts w:ascii="仿宋_GB2312" w:hAnsi="仿宋_GB2312" w:eastAsia="仿宋_GB2312" w:cs="仿宋_GB2312"/>
                <w:color w:val="000000" w:themeColor="text1"/>
                <w:kern w:val="0"/>
                <w:szCs w:val="21"/>
              </w:rPr>
            </w:pPr>
          </w:p>
        </w:tc>
        <w:tc>
          <w:tcPr>
            <w:tcW w:w="1047" w:type="dxa"/>
            <w:vAlign w:val="center"/>
          </w:tcPr>
          <w:p>
            <w:pPr>
              <w:spacing w:line="280" w:lineRule="exact"/>
              <w:jc w:val="center"/>
              <w:rPr>
                <w:rFonts w:ascii="仿宋_GB2312" w:hAnsi="仿宋_GB2312" w:eastAsia="仿宋_GB2312" w:cs="仿宋_GB2312"/>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0" w:type="auto"/>
            <w:vAlign w:val="center"/>
          </w:tcPr>
          <w:p>
            <w:pPr>
              <w:spacing w:line="600" w:lineRule="exact"/>
              <w:jc w:val="center"/>
              <w:rPr>
                <w:rFonts w:ascii="仿宋_GB2312" w:hAnsi="仿宋_GB2312" w:eastAsia="仿宋_GB2312" w:cs="仿宋_GB2312"/>
                <w:color w:val="000000" w:themeColor="text1"/>
                <w:sz w:val="24"/>
              </w:rPr>
            </w:pPr>
            <w:r>
              <w:rPr>
                <w:rFonts w:hint="eastAsia" w:ascii="仿宋_GB2312" w:hAnsi="仿宋_GB2312" w:eastAsia="仿宋_GB2312" w:cs="仿宋_GB2312"/>
                <w:color w:val="000000" w:themeColor="text1"/>
                <w:sz w:val="24"/>
              </w:rPr>
              <w:t>5</w:t>
            </w:r>
          </w:p>
        </w:tc>
        <w:tc>
          <w:tcPr>
            <w:tcW w:w="1182" w:type="dxa"/>
            <w:vMerge w:val="restart"/>
            <w:vAlign w:val="center"/>
          </w:tcPr>
          <w:p>
            <w:pPr>
              <w:spacing w:line="600" w:lineRule="exact"/>
              <w:jc w:val="center"/>
              <w:rPr>
                <w:rFonts w:ascii="仿宋_GB2312" w:hAnsi="仿宋_GB2312" w:eastAsia="仿宋_GB2312" w:cs="仿宋_GB2312"/>
                <w:color w:val="000000" w:themeColor="text1"/>
                <w:sz w:val="32"/>
                <w:szCs w:val="32"/>
              </w:rPr>
            </w:pPr>
            <w:r>
              <w:rPr>
                <w:rFonts w:hint="eastAsia" w:cs="仿宋_GB2312"/>
                <w:color w:val="000000" w:themeColor="text1"/>
                <w:sz w:val="24"/>
              </w:rPr>
              <w:t>销号房屋 随机抽取</w:t>
            </w:r>
          </w:p>
        </w:tc>
        <w:tc>
          <w:tcPr>
            <w:tcW w:w="1308" w:type="dxa"/>
            <w:vAlign w:val="center"/>
          </w:tcPr>
          <w:p>
            <w:pPr>
              <w:spacing w:line="280" w:lineRule="exact"/>
              <w:jc w:val="center"/>
              <w:rPr>
                <w:rFonts w:ascii="仿宋_GB2312" w:hAnsi="仿宋_GB2312" w:eastAsia="仿宋_GB2312" w:cs="仿宋_GB2312"/>
                <w:color w:val="000000" w:themeColor="text1"/>
                <w:kern w:val="0"/>
                <w:szCs w:val="21"/>
              </w:rPr>
            </w:pPr>
          </w:p>
        </w:tc>
        <w:tc>
          <w:tcPr>
            <w:tcW w:w="1613" w:type="dxa"/>
            <w:vAlign w:val="center"/>
          </w:tcPr>
          <w:p>
            <w:pPr>
              <w:spacing w:line="280" w:lineRule="exact"/>
              <w:jc w:val="center"/>
              <w:rPr>
                <w:rFonts w:ascii="仿宋_GB2312" w:hAnsi="仿宋_GB2312" w:eastAsia="仿宋_GB2312" w:cs="仿宋_GB2312"/>
                <w:color w:val="000000" w:themeColor="text1"/>
                <w:kern w:val="0"/>
                <w:szCs w:val="21"/>
              </w:rPr>
            </w:pPr>
          </w:p>
        </w:tc>
        <w:tc>
          <w:tcPr>
            <w:tcW w:w="1231"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1188"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2436"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 xml:space="preserve">管理措施 </w:t>
            </w: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工程措施</w:t>
            </w:r>
          </w:p>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□未采取措施</w:t>
            </w:r>
          </w:p>
        </w:tc>
        <w:tc>
          <w:tcPr>
            <w:tcW w:w="2292" w:type="dxa"/>
            <w:vAlign w:val="center"/>
          </w:tcPr>
          <w:p>
            <w:pPr>
              <w:spacing w:line="280" w:lineRule="exact"/>
              <w:jc w:val="center"/>
              <w:rPr>
                <w:rFonts w:ascii="仿宋_GB2312" w:hAnsi="仿宋_GB2312" w:eastAsia="仿宋_GB2312" w:cs="仿宋_GB2312"/>
                <w:color w:val="000000" w:themeColor="text1"/>
                <w:kern w:val="0"/>
                <w:szCs w:val="21"/>
              </w:rPr>
            </w:pPr>
          </w:p>
        </w:tc>
        <w:tc>
          <w:tcPr>
            <w:tcW w:w="1047" w:type="dxa"/>
            <w:vAlign w:val="center"/>
          </w:tcPr>
          <w:p>
            <w:pPr>
              <w:spacing w:line="280" w:lineRule="exact"/>
              <w:jc w:val="center"/>
              <w:rPr>
                <w:rFonts w:ascii="仿宋_GB2312" w:hAnsi="仿宋_GB2312" w:eastAsia="仿宋_GB2312" w:cs="仿宋_GB2312"/>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0" w:type="auto"/>
            <w:vAlign w:val="center"/>
          </w:tcPr>
          <w:p>
            <w:pPr>
              <w:spacing w:line="600" w:lineRule="exact"/>
              <w:jc w:val="center"/>
              <w:rPr>
                <w:rFonts w:ascii="仿宋_GB2312" w:hAnsi="仿宋_GB2312" w:eastAsia="仿宋_GB2312" w:cs="仿宋_GB2312"/>
                <w:color w:val="000000" w:themeColor="text1"/>
                <w:sz w:val="24"/>
              </w:rPr>
            </w:pPr>
            <w:r>
              <w:rPr>
                <w:rFonts w:hint="eastAsia" w:ascii="仿宋_GB2312" w:hAnsi="仿宋_GB2312" w:eastAsia="仿宋_GB2312" w:cs="仿宋_GB2312"/>
                <w:color w:val="000000" w:themeColor="text1"/>
                <w:sz w:val="24"/>
              </w:rPr>
              <w:t>6</w:t>
            </w:r>
          </w:p>
        </w:tc>
        <w:tc>
          <w:tcPr>
            <w:tcW w:w="1182" w:type="dxa"/>
            <w:vMerge w:val="continue"/>
            <w:vAlign w:val="center"/>
          </w:tcPr>
          <w:p>
            <w:pPr>
              <w:spacing w:line="600" w:lineRule="exact"/>
              <w:jc w:val="center"/>
              <w:rPr>
                <w:rFonts w:ascii="仿宋_GB2312" w:hAnsi="仿宋_GB2312" w:eastAsia="仿宋_GB2312" w:cs="仿宋_GB2312"/>
                <w:color w:val="000000" w:themeColor="text1"/>
                <w:sz w:val="32"/>
                <w:szCs w:val="32"/>
              </w:rPr>
            </w:pPr>
          </w:p>
        </w:tc>
        <w:tc>
          <w:tcPr>
            <w:tcW w:w="1308" w:type="dxa"/>
            <w:vAlign w:val="center"/>
          </w:tcPr>
          <w:p>
            <w:pPr>
              <w:spacing w:line="280" w:lineRule="exact"/>
              <w:jc w:val="center"/>
              <w:rPr>
                <w:rFonts w:ascii="仿宋_GB2312" w:hAnsi="仿宋_GB2312" w:eastAsia="仿宋_GB2312" w:cs="仿宋_GB2312"/>
                <w:color w:val="000000" w:themeColor="text1"/>
                <w:kern w:val="0"/>
                <w:szCs w:val="21"/>
              </w:rPr>
            </w:pPr>
          </w:p>
        </w:tc>
        <w:tc>
          <w:tcPr>
            <w:tcW w:w="1613" w:type="dxa"/>
            <w:vAlign w:val="center"/>
          </w:tcPr>
          <w:p>
            <w:pPr>
              <w:spacing w:line="280" w:lineRule="exact"/>
              <w:jc w:val="center"/>
              <w:rPr>
                <w:rFonts w:ascii="仿宋_GB2312" w:hAnsi="仿宋_GB2312" w:eastAsia="仿宋_GB2312" w:cs="仿宋_GB2312"/>
                <w:color w:val="000000" w:themeColor="text1"/>
                <w:kern w:val="0"/>
                <w:szCs w:val="21"/>
              </w:rPr>
            </w:pPr>
          </w:p>
        </w:tc>
        <w:tc>
          <w:tcPr>
            <w:tcW w:w="1231"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1188"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2436"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 xml:space="preserve">管理措施 </w:t>
            </w: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工程措施</w:t>
            </w:r>
          </w:p>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□未采取措施</w:t>
            </w:r>
          </w:p>
        </w:tc>
        <w:tc>
          <w:tcPr>
            <w:tcW w:w="2292" w:type="dxa"/>
            <w:vAlign w:val="center"/>
          </w:tcPr>
          <w:p>
            <w:pPr>
              <w:spacing w:line="280" w:lineRule="exact"/>
              <w:jc w:val="center"/>
              <w:rPr>
                <w:rFonts w:ascii="仿宋_GB2312" w:hAnsi="仿宋_GB2312" w:eastAsia="仿宋_GB2312" w:cs="仿宋_GB2312"/>
                <w:color w:val="000000" w:themeColor="text1"/>
                <w:kern w:val="0"/>
                <w:szCs w:val="21"/>
              </w:rPr>
            </w:pPr>
          </w:p>
        </w:tc>
        <w:tc>
          <w:tcPr>
            <w:tcW w:w="1047" w:type="dxa"/>
            <w:vAlign w:val="center"/>
          </w:tcPr>
          <w:p>
            <w:pPr>
              <w:spacing w:line="280" w:lineRule="exact"/>
              <w:jc w:val="center"/>
              <w:rPr>
                <w:rFonts w:ascii="仿宋_GB2312" w:hAnsi="仿宋_GB2312" w:eastAsia="仿宋_GB2312" w:cs="仿宋_GB2312"/>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0" w:type="auto"/>
            <w:vAlign w:val="center"/>
          </w:tcPr>
          <w:p>
            <w:pPr>
              <w:spacing w:line="600" w:lineRule="exact"/>
              <w:jc w:val="center"/>
              <w:rPr>
                <w:rFonts w:ascii="仿宋_GB2312" w:hAnsi="仿宋_GB2312" w:eastAsia="仿宋_GB2312" w:cs="仿宋_GB2312"/>
                <w:color w:val="000000" w:themeColor="text1"/>
                <w:sz w:val="24"/>
              </w:rPr>
            </w:pPr>
            <w:r>
              <w:rPr>
                <w:rFonts w:hint="eastAsia" w:ascii="仿宋_GB2312" w:hAnsi="仿宋_GB2312" w:eastAsia="仿宋_GB2312" w:cs="仿宋_GB2312"/>
                <w:color w:val="000000" w:themeColor="text1"/>
                <w:sz w:val="24"/>
              </w:rPr>
              <w:t>7</w:t>
            </w:r>
          </w:p>
        </w:tc>
        <w:tc>
          <w:tcPr>
            <w:tcW w:w="1182" w:type="dxa"/>
            <w:vMerge w:val="continue"/>
            <w:vAlign w:val="center"/>
          </w:tcPr>
          <w:p>
            <w:pPr>
              <w:spacing w:line="600" w:lineRule="exact"/>
              <w:jc w:val="center"/>
              <w:rPr>
                <w:rFonts w:ascii="仿宋_GB2312" w:hAnsi="仿宋_GB2312" w:eastAsia="仿宋_GB2312" w:cs="仿宋_GB2312"/>
                <w:color w:val="000000" w:themeColor="text1"/>
                <w:sz w:val="32"/>
                <w:szCs w:val="32"/>
              </w:rPr>
            </w:pPr>
          </w:p>
        </w:tc>
        <w:tc>
          <w:tcPr>
            <w:tcW w:w="1308" w:type="dxa"/>
            <w:vAlign w:val="center"/>
          </w:tcPr>
          <w:p>
            <w:pPr>
              <w:spacing w:line="280" w:lineRule="exact"/>
              <w:jc w:val="center"/>
              <w:rPr>
                <w:rFonts w:ascii="仿宋_GB2312" w:hAnsi="仿宋_GB2312" w:eastAsia="仿宋_GB2312" w:cs="仿宋_GB2312"/>
                <w:color w:val="000000" w:themeColor="text1"/>
                <w:kern w:val="0"/>
                <w:szCs w:val="21"/>
              </w:rPr>
            </w:pPr>
          </w:p>
        </w:tc>
        <w:tc>
          <w:tcPr>
            <w:tcW w:w="1613" w:type="dxa"/>
            <w:vAlign w:val="center"/>
          </w:tcPr>
          <w:p>
            <w:pPr>
              <w:spacing w:line="280" w:lineRule="exact"/>
              <w:jc w:val="center"/>
              <w:rPr>
                <w:rFonts w:ascii="仿宋_GB2312" w:hAnsi="仿宋_GB2312" w:eastAsia="仿宋_GB2312" w:cs="仿宋_GB2312"/>
                <w:color w:val="000000" w:themeColor="text1"/>
                <w:kern w:val="0"/>
                <w:szCs w:val="21"/>
              </w:rPr>
            </w:pPr>
          </w:p>
        </w:tc>
        <w:tc>
          <w:tcPr>
            <w:tcW w:w="1231"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1188"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2436"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 xml:space="preserve">管理措施 </w:t>
            </w: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工程措施</w:t>
            </w:r>
          </w:p>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□未采取措施</w:t>
            </w:r>
          </w:p>
        </w:tc>
        <w:tc>
          <w:tcPr>
            <w:tcW w:w="2292" w:type="dxa"/>
            <w:vAlign w:val="center"/>
          </w:tcPr>
          <w:p>
            <w:pPr>
              <w:spacing w:line="280" w:lineRule="exact"/>
              <w:jc w:val="center"/>
              <w:rPr>
                <w:rFonts w:ascii="仿宋_GB2312" w:hAnsi="仿宋_GB2312" w:eastAsia="仿宋_GB2312" w:cs="仿宋_GB2312"/>
                <w:color w:val="000000" w:themeColor="text1"/>
                <w:kern w:val="0"/>
                <w:szCs w:val="21"/>
              </w:rPr>
            </w:pPr>
          </w:p>
        </w:tc>
        <w:tc>
          <w:tcPr>
            <w:tcW w:w="1047" w:type="dxa"/>
            <w:vAlign w:val="center"/>
          </w:tcPr>
          <w:p>
            <w:pPr>
              <w:spacing w:line="280" w:lineRule="exact"/>
              <w:jc w:val="center"/>
              <w:rPr>
                <w:rFonts w:ascii="仿宋_GB2312" w:hAnsi="仿宋_GB2312" w:eastAsia="仿宋_GB2312" w:cs="仿宋_GB2312"/>
                <w:color w:val="000000" w:themeColor="text1"/>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0" w:type="auto"/>
            <w:vAlign w:val="center"/>
          </w:tcPr>
          <w:p>
            <w:pPr>
              <w:spacing w:line="600" w:lineRule="exact"/>
              <w:jc w:val="center"/>
              <w:rPr>
                <w:rFonts w:ascii="仿宋_GB2312" w:hAnsi="仿宋_GB2312" w:eastAsia="仿宋_GB2312" w:cs="仿宋_GB2312"/>
                <w:color w:val="000000" w:themeColor="text1"/>
                <w:sz w:val="24"/>
              </w:rPr>
            </w:pPr>
            <w:r>
              <w:rPr>
                <w:rFonts w:hint="eastAsia" w:ascii="仿宋_GB2312" w:hAnsi="仿宋_GB2312" w:eastAsia="仿宋_GB2312" w:cs="仿宋_GB2312"/>
                <w:color w:val="000000" w:themeColor="text1"/>
                <w:sz w:val="24"/>
              </w:rPr>
              <w:t>8</w:t>
            </w:r>
          </w:p>
        </w:tc>
        <w:tc>
          <w:tcPr>
            <w:tcW w:w="1182" w:type="dxa"/>
            <w:vMerge w:val="continue"/>
            <w:vAlign w:val="center"/>
          </w:tcPr>
          <w:p>
            <w:pPr>
              <w:spacing w:line="600" w:lineRule="exact"/>
              <w:jc w:val="center"/>
              <w:rPr>
                <w:rFonts w:ascii="仿宋_GB2312" w:hAnsi="仿宋_GB2312" w:eastAsia="仿宋_GB2312" w:cs="仿宋_GB2312"/>
                <w:color w:val="000000" w:themeColor="text1"/>
                <w:sz w:val="32"/>
                <w:szCs w:val="32"/>
              </w:rPr>
            </w:pPr>
          </w:p>
        </w:tc>
        <w:tc>
          <w:tcPr>
            <w:tcW w:w="1308" w:type="dxa"/>
            <w:vAlign w:val="center"/>
          </w:tcPr>
          <w:p>
            <w:pPr>
              <w:spacing w:line="280" w:lineRule="exact"/>
              <w:jc w:val="center"/>
              <w:rPr>
                <w:rFonts w:ascii="仿宋_GB2312" w:hAnsi="仿宋_GB2312" w:eastAsia="仿宋_GB2312" w:cs="仿宋_GB2312"/>
                <w:color w:val="000000" w:themeColor="text1"/>
                <w:kern w:val="0"/>
                <w:szCs w:val="21"/>
              </w:rPr>
            </w:pPr>
          </w:p>
        </w:tc>
        <w:tc>
          <w:tcPr>
            <w:tcW w:w="1613" w:type="dxa"/>
            <w:vAlign w:val="center"/>
          </w:tcPr>
          <w:p>
            <w:pPr>
              <w:spacing w:line="280" w:lineRule="exact"/>
              <w:jc w:val="center"/>
              <w:rPr>
                <w:rFonts w:ascii="仿宋_GB2312" w:hAnsi="仿宋_GB2312" w:eastAsia="仿宋_GB2312" w:cs="仿宋_GB2312"/>
                <w:color w:val="000000" w:themeColor="text1"/>
                <w:kern w:val="0"/>
                <w:szCs w:val="21"/>
              </w:rPr>
            </w:pPr>
          </w:p>
        </w:tc>
        <w:tc>
          <w:tcPr>
            <w:tcW w:w="1231"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1188" w:type="dxa"/>
            <w:vAlign w:val="center"/>
          </w:tcPr>
          <w:p>
            <w:pPr>
              <w:spacing w:line="280" w:lineRule="exact"/>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□是□否</w:t>
            </w:r>
          </w:p>
        </w:tc>
        <w:tc>
          <w:tcPr>
            <w:tcW w:w="2436" w:type="dxa"/>
            <w:vAlign w:val="center"/>
          </w:tcPr>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 xml:space="preserve">管理措施 </w:t>
            </w:r>
            <w:r>
              <w:rPr>
                <w:rFonts w:hint="eastAsia" w:ascii="仿宋_GB2312" w:hAnsi="仿宋_GB2312" w:eastAsia="仿宋_GB2312" w:cs="仿宋_GB2312"/>
                <w:color w:val="000000" w:themeColor="text1"/>
                <w:kern w:val="0"/>
                <w:szCs w:val="21"/>
              </w:rPr>
              <w:t>□</w:t>
            </w:r>
            <w:r>
              <w:rPr>
                <w:rFonts w:hint="eastAsia" w:cs="仿宋_GB2312"/>
                <w:color w:val="000000" w:themeColor="text1"/>
                <w:kern w:val="0"/>
                <w:szCs w:val="21"/>
              </w:rPr>
              <w:t>工程措施</w:t>
            </w:r>
          </w:p>
          <w:p>
            <w:pPr>
              <w:spacing w:line="280" w:lineRule="exact"/>
              <w:jc w:val="center"/>
              <w:rPr>
                <w:rFonts w:ascii="仿宋_GB2312" w:hAnsi="仿宋_GB2312" w:eastAsia="仿宋_GB2312" w:cs="仿宋_GB2312"/>
                <w:color w:val="000000" w:themeColor="text1"/>
                <w:kern w:val="0"/>
                <w:szCs w:val="21"/>
              </w:rPr>
            </w:pPr>
            <w:r>
              <w:rPr>
                <w:rFonts w:hint="eastAsia" w:ascii="仿宋_GB2312" w:hAnsi="仿宋_GB2312" w:eastAsia="仿宋_GB2312" w:cs="仿宋_GB2312"/>
                <w:color w:val="000000" w:themeColor="text1"/>
                <w:kern w:val="0"/>
                <w:szCs w:val="21"/>
              </w:rPr>
              <w:t>□未采取措施</w:t>
            </w:r>
          </w:p>
        </w:tc>
        <w:tc>
          <w:tcPr>
            <w:tcW w:w="2292" w:type="dxa"/>
            <w:vAlign w:val="center"/>
          </w:tcPr>
          <w:p>
            <w:pPr>
              <w:spacing w:line="280" w:lineRule="exact"/>
              <w:jc w:val="center"/>
              <w:rPr>
                <w:rFonts w:ascii="仿宋_GB2312" w:hAnsi="仿宋_GB2312" w:eastAsia="仿宋_GB2312" w:cs="仿宋_GB2312"/>
                <w:color w:val="000000" w:themeColor="text1"/>
                <w:kern w:val="0"/>
                <w:szCs w:val="21"/>
              </w:rPr>
            </w:pPr>
          </w:p>
        </w:tc>
        <w:tc>
          <w:tcPr>
            <w:tcW w:w="1047" w:type="dxa"/>
            <w:vAlign w:val="center"/>
          </w:tcPr>
          <w:p>
            <w:pPr>
              <w:spacing w:line="280" w:lineRule="exact"/>
              <w:jc w:val="center"/>
              <w:rPr>
                <w:rFonts w:ascii="仿宋_GB2312" w:hAnsi="仿宋_GB2312" w:eastAsia="仿宋_GB2312" w:cs="仿宋_GB2312"/>
                <w:color w:val="000000" w:themeColor="text1"/>
                <w:kern w:val="0"/>
                <w:szCs w:val="21"/>
              </w:rPr>
            </w:pPr>
          </w:p>
        </w:tc>
      </w:tr>
    </w:tbl>
    <w:p>
      <w:pPr>
        <w:spacing w:line="578" w:lineRule="exact"/>
        <w:jc w:val="left"/>
        <w:rPr>
          <w:rFonts w:ascii="仿宋_GB2312" w:hAnsi="仿宋_GB2312" w:eastAsia="仿宋_GB2312" w:cs="仿宋_GB2312"/>
          <w:color w:val="000000" w:themeColor="text1"/>
          <w:sz w:val="24"/>
        </w:rPr>
      </w:pPr>
      <w:r>
        <w:rPr>
          <w:rFonts w:hint="eastAsia"/>
          <w:color w:val="000000" w:themeColor="text1"/>
          <w:sz w:val="24"/>
        </w:rPr>
        <w:t>检查组专家签字：                                   受检辖区负责人签字：</w:t>
      </w:r>
    </w:p>
    <w:p>
      <w:pPr>
        <w:spacing w:line="578" w:lineRule="exact"/>
        <w:rPr>
          <w:rFonts w:ascii="黑体" w:hAnsi="黑体" w:eastAsia="黑体" w:cs="黑体"/>
          <w:color w:val="000000" w:themeColor="text1"/>
          <w:sz w:val="24"/>
        </w:rPr>
        <w:sectPr>
          <w:pgSz w:w="16838" w:h="11906" w:orient="landscape"/>
          <w:pgMar w:top="1474" w:right="2098" w:bottom="1474" w:left="1984" w:header="851" w:footer="992" w:gutter="0"/>
          <w:cols w:space="0" w:num="1"/>
          <w:docGrid w:type="lines" w:linePitch="312" w:charSpace="0"/>
        </w:sectPr>
      </w:pPr>
    </w:p>
    <w:p>
      <w:pPr>
        <w:spacing w:line="578" w:lineRule="exact"/>
        <w:jc w:val="center"/>
        <w:outlineLvl w:val="1"/>
        <w:rPr>
          <w:rFonts w:ascii="黑体" w:hAnsi="黑体" w:eastAsia="黑体" w:cs="黑体"/>
          <w:color w:val="000000" w:themeColor="text1"/>
          <w:sz w:val="32"/>
          <w:szCs w:val="32"/>
        </w:rPr>
      </w:pPr>
      <w:bookmarkStart w:id="23" w:name="_Toc17592"/>
      <w:r>
        <w:rPr>
          <w:rFonts w:hint="eastAsia" w:ascii="黑体" w:hAnsi="黑体" w:eastAsia="黑体" w:cs="黑体"/>
          <w:color w:val="000000" w:themeColor="text1"/>
          <w:sz w:val="32"/>
          <w:szCs w:val="32"/>
        </w:rPr>
        <w:t>（四）</w:t>
      </w:r>
      <w:r>
        <w:rPr>
          <w:rFonts w:hint="eastAsia" w:ascii="黑体" w:hAnsi="黑体" w:eastAsia="黑体" w:cs="黑体"/>
          <w:color w:val="000000" w:themeColor="text1"/>
          <w:kern w:val="0"/>
          <w:sz w:val="32"/>
          <w:szCs w:val="32"/>
        </w:rPr>
        <w:t>市政设施</w:t>
      </w:r>
      <w:bookmarkEnd w:id="22"/>
      <w:r>
        <w:rPr>
          <w:rFonts w:hint="eastAsia" w:ascii="黑体" w:hAnsi="黑体" w:eastAsia="黑体" w:cs="黑体"/>
          <w:color w:val="000000" w:themeColor="text1"/>
          <w:kern w:val="0"/>
          <w:sz w:val="32"/>
          <w:szCs w:val="32"/>
        </w:rPr>
        <w:t>运行部分</w:t>
      </w:r>
      <w:bookmarkEnd w:id="23"/>
    </w:p>
    <w:p>
      <w:pPr>
        <w:spacing w:line="578" w:lineRule="exact"/>
        <w:ind w:firstLine="723" w:firstLineChars="200"/>
        <w:rPr>
          <w:rFonts w:ascii="仿宋" w:hAnsi="仿宋" w:eastAsia="仿宋" w:cs="仿宋"/>
          <w:b/>
          <w:color w:val="000000" w:themeColor="text1"/>
          <w:sz w:val="36"/>
          <w:szCs w:val="36"/>
          <w:lang w:val="zh-CN"/>
        </w:rPr>
      </w:pPr>
    </w:p>
    <w:p>
      <w:pPr>
        <w:pStyle w:val="20"/>
        <w:spacing w:line="578" w:lineRule="exact"/>
        <w:ind w:firstLine="643" w:firstLineChars="200"/>
        <w:outlineLvl w:val="2"/>
        <w:rPr>
          <w:rFonts w:ascii="楷体_GB2312" w:hAnsi="楷体_GB2312" w:eastAsia="楷体_GB2312" w:cs="楷体_GB2312"/>
          <w:b/>
          <w:bCs/>
          <w:color w:val="000000" w:themeColor="text1"/>
          <w:sz w:val="32"/>
          <w:szCs w:val="32"/>
        </w:rPr>
      </w:pPr>
      <w:bookmarkStart w:id="24" w:name="_Toc30073"/>
      <w:r>
        <w:rPr>
          <w:rFonts w:hint="eastAsia" w:ascii="楷体_GB2312" w:hAnsi="楷体_GB2312" w:eastAsia="楷体_GB2312" w:cs="楷体_GB2312"/>
          <w:b/>
          <w:bCs/>
          <w:color w:val="000000" w:themeColor="text1"/>
          <w:sz w:val="32"/>
          <w:szCs w:val="32"/>
        </w:rPr>
        <w:t>1.</w:t>
      </w:r>
      <w:r>
        <w:rPr>
          <w:rFonts w:hint="eastAsia" w:ascii="楷体_GB2312" w:hAnsi="楷体_GB2312" w:eastAsia="楷体_GB2312" w:cs="楷体_GB2312"/>
          <w:b/>
          <w:bCs/>
          <w:color w:val="000000" w:themeColor="text1"/>
          <w:sz w:val="32"/>
          <w:szCs w:val="32"/>
          <w:lang w:val="zh-CN"/>
        </w:rPr>
        <w:t>城市排水有限空间作业</w:t>
      </w:r>
      <w:r>
        <w:rPr>
          <w:rFonts w:hint="eastAsia" w:ascii="楷体_GB2312" w:hAnsi="楷体_GB2312" w:eastAsia="楷体_GB2312" w:cs="楷体_GB2312"/>
          <w:b/>
          <w:bCs/>
          <w:color w:val="000000" w:themeColor="text1"/>
          <w:sz w:val="32"/>
          <w:szCs w:val="32"/>
        </w:rPr>
        <w:t>方面</w:t>
      </w:r>
      <w:bookmarkEnd w:id="24"/>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一、重点帮扶内容</w:t>
      </w:r>
    </w:p>
    <w:p>
      <w:pPr>
        <w:pStyle w:val="2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6"/>
        </w:rPr>
        <w:t>1.保障</w:t>
      </w:r>
      <w:r>
        <w:rPr>
          <w:rFonts w:hint="eastAsia" w:ascii="仿宋_GB2312" w:hAnsi="仿宋_GB2312" w:eastAsia="仿宋_GB2312" w:cs="仿宋_GB2312"/>
          <w:color w:val="000000" w:themeColor="text1"/>
          <w:sz w:val="32"/>
          <w:szCs w:val="32"/>
        </w:rPr>
        <w:t>群众温暖过冬情况。了解集中供热企业运营、能源供给、服务保障等情况，听取问题困难和意见建议。</w:t>
      </w:r>
    </w:p>
    <w:p>
      <w:pPr>
        <w:pStyle w:val="20"/>
        <w:spacing w:line="578" w:lineRule="exact"/>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rPr>
        <w:t>2.各地</w:t>
      </w:r>
      <w:r>
        <w:rPr>
          <w:rFonts w:hint="eastAsia" w:ascii="仿宋_GB2312" w:hAnsi="仿宋_GB2312" w:eastAsia="仿宋_GB2312" w:cs="仿宋_GB2312"/>
          <w:color w:val="000000" w:themeColor="text1"/>
          <w:sz w:val="32"/>
          <w:szCs w:val="32"/>
          <w:lang w:val="zh-CN"/>
        </w:rPr>
        <w:t>对城市供排水、供气、供热管线、城市道路桥梁等设施的维护检修，安全隐患排查整治情况。</w:t>
      </w:r>
    </w:p>
    <w:p>
      <w:pPr>
        <w:pStyle w:val="2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3.各地供热、供水、排水和污水处理、垃圾处理等专营单位应对低温雨雪冰冻等极端天气条件的应急准备情况。</w:t>
      </w:r>
    </w:p>
    <w:p>
      <w:pPr>
        <w:pStyle w:val="20"/>
        <w:spacing w:line="578" w:lineRule="exact"/>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rPr>
        <w:t>4.</w:t>
      </w:r>
      <w:r>
        <w:rPr>
          <w:rFonts w:hint="eastAsia" w:ascii="仿宋_GB2312" w:hAnsi="仿宋_GB2312" w:eastAsia="仿宋_GB2312" w:cs="仿宋_GB2312"/>
          <w:color w:val="000000" w:themeColor="text1"/>
          <w:sz w:val="32"/>
          <w:szCs w:val="32"/>
          <w:lang w:val="zh-CN"/>
        </w:rPr>
        <w:t>执行落实《山东省住房和城乡建设厅关于进一步加强城市市政公用有限空间作业安全管理工作的通知》</w:t>
      </w:r>
      <w:r>
        <w:rPr>
          <w:rFonts w:hint="eastAsia" w:ascii="仿宋_GB2312" w:hAnsi="仿宋_GB2312" w:eastAsia="仿宋_GB2312" w:cs="仿宋_GB2312"/>
          <w:color w:val="000000" w:themeColor="text1"/>
          <w:sz w:val="32"/>
          <w:szCs w:val="32"/>
        </w:rPr>
        <w:t>《排水管道维护安全技术规程》（CJJ6-2009）</w:t>
      </w:r>
      <w:r>
        <w:rPr>
          <w:rFonts w:hint="eastAsia" w:ascii="仿宋_GB2312" w:hAnsi="仿宋_GB2312" w:eastAsia="仿宋_GB2312" w:cs="仿宋_GB2312"/>
          <w:color w:val="000000" w:themeColor="text1"/>
          <w:sz w:val="32"/>
          <w:szCs w:val="32"/>
          <w:lang w:val="zh-CN"/>
        </w:rPr>
        <w:t>《山东省城市市政公用管道有限空间作业安全操作规程》（鲁城建函〔2016〕51号）等政策、标准、规程情况。</w:t>
      </w:r>
    </w:p>
    <w:p>
      <w:pPr>
        <w:pStyle w:val="20"/>
        <w:spacing w:line="578" w:lineRule="exact"/>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rPr>
        <w:t>5</w:t>
      </w:r>
      <w:r>
        <w:rPr>
          <w:rFonts w:hint="eastAsia" w:ascii="仿宋_GB2312" w:hAnsi="仿宋_GB2312" w:eastAsia="仿宋_GB2312" w:cs="仿宋_GB2312"/>
          <w:color w:val="000000" w:themeColor="text1"/>
          <w:sz w:val="32"/>
          <w:szCs w:val="32"/>
          <w:lang w:val="zh-CN"/>
        </w:rPr>
        <w:t>.应急管理情况。突发事件应急预案制定、应急演练及评估分析情况，抢修车辆、设备等各类应急救援物资储备情况。</w:t>
      </w:r>
    </w:p>
    <w:p>
      <w:pPr>
        <w:pStyle w:val="2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6.城市公园与相关广场（政府投资建设且位于城市绿地范围内）安全管理责任制建立实施情况，安全生产责任书签订等情况。</w:t>
      </w:r>
    </w:p>
    <w:p>
      <w:pPr>
        <w:pStyle w:val="20"/>
        <w:spacing w:line="578" w:lineRule="exact"/>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rPr>
        <w:t>7.</w:t>
      </w:r>
      <w:r>
        <w:rPr>
          <w:rFonts w:hint="eastAsia" w:ascii="仿宋_GB2312" w:hAnsi="仿宋_GB2312" w:eastAsia="仿宋_GB2312" w:cs="仿宋_GB2312"/>
          <w:color w:val="000000" w:themeColor="text1"/>
          <w:sz w:val="32"/>
          <w:szCs w:val="32"/>
          <w:lang w:val="zh-CN"/>
        </w:rPr>
        <w:t>节假日期间游园安全风险预判及应急管理情况，</w:t>
      </w:r>
      <w:r>
        <w:rPr>
          <w:rFonts w:hint="eastAsia" w:ascii="仿宋_GB2312" w:hAnsi="仿宋_GB2312" w:eastAsia="仿宋_GB2312" w:cs="仿宋_GB2312"/>
          <w:color w:val="000000" w:themeColor="text1"/>
          <w:sz w:val="32"/>
          <w:szCs w:val="32"/>
        </w:rPr>
        <w:t>配合做好大型游乐设施安全管理情况</w:t>
      </w:r>
      <w:r>
        <w:rPr>
          <w:rFonts w:hint="eastAsia" w:ascii="仿宋_GB2312" w:hAnsi="仿宋_GB2312" w:eastAsia="仿宋_GB2312" w:cs="仿宋_GB2312"/>
          <w:color w:val="000000" w:themeColor="text1"/>
          <w:sz w:val="32"/>
          <w:szCs w:val="32"/>
          <w:lang w:val="zh-CN"/>
        </w:rPr>
        <w:t>。</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二、检查方式</w:t>
      </w:r>
    </w:p>
    <w:p>
      <w:pPr>
        <w:pStyle w:val="20"/>
        <w:spacing w:line="578" w:lineRule="exact"/>
        <w:ind w:firstLine="640" w:firstLineChars="200"/>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rPr>
        <w:t>采取听取汇报、查阅资料等方式进行。</w:t>
      </w:r>
      <w:r>
        <w:rPr>
          <w:rFonts w:hint="eastAsia" w:ascii="仿宋_GB2312" w:hAnsi="仿宋_GB2312" w:eastAsia="仿宋_GB2312" w:cs="仿宋_GB2312"/>
          <w:color w:val="000000" w:themeColor="text1"/>
          <w:sz w:val="32"/>
          <w:szCs w:val="32"/>
          <w:lang w:val="zh-CN"/>
        </w:rPr>
        <w:t>听取保障群众温暖过冬情况汇报，查阅集中供热企业储煤情况台账（外购热源除外）和群众供暖问题解决情况台账，结合燃气入户，同步询问群众供暖质量及满意度情况。</w:t>
      </w:r>
      <w:r>
        <w:rPr>
          <w:rFonts w:hint="eastAsia" w:ascii="仿宋_GB2312" w:hAnsi="仿宋_GB2312" w:eastAsia="仿宋_GB2312" w:cs="仿宋_GB2312"/>
          <w:color w:val="000000" w:themeColor="text1"/>
          <w:sz w:val="32"/>
          <w:szCs w:val="32"/>
        </w:rPr>
        <w:t>每市至少抽查城市供排水企业、环卫企业和城市公园各1个。工程项目可从市主管部门台账随机抽取，采取“四不两直”方式检查。</w:t>
      </w:r>
    </w:p>
    <w:p>
      <w:pPr>
        <w:pStyle w:val="2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采取听取汇报、查阅资料、实地检查等方式进行。听取保障群众温暖过冬情况汇报，查阅集中供热企业储煤情况台账（外购热源除外）和群众供暖问题解决情况台账，结合燃气入户，同步询问群众供暖质量及满意度情况。每市至少抽查城市供排水企业、环卫企业和城市公园各1个。工程项目可从市主管部门台账随机抽取，采取“四不两直”方式检查。每市至少抽查1个县（市）、2个城市公园；其中，有城市动物园的城市需检查1处城市动物园。</w:t>
      </w:r>
    </w:p>
    <w:p>
      <w:pPr>
        <w:pStyle w:val="20"/>
        <w:spacing w:line="578" w:lineRule="exact"/>
        <w:ind w:firstLine="640" w:firstLineChars="200"/>
        <w:rPr>
          <w:color w:val="000000" w:themeColor="text1"/>
        </w:rPr>
        <w:sectPr>
          <w:footerReference r:id="rId13"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color w:val="000000" w:themeColor="text1"/>
          <w:sz w:val="32"/>
          <w:szCs w:val="32"/>
        </w:rPr>
        <w:t>联络员：魏翔宇 18866870523</w:t>
      </w:r>
    </w:p>
    <w:tbl>
      <w:tblPr>
        <w:tblStyle w:val="15"/>
        <w:tblW w:w="13585" w:type="dxa"/>
        <w:tblInd w:w="100" w:type="dxa"/>
        <w:tblLayout w:type="fixed"/>
        <w:tblCellMar>
          <w:top w:w="0" w:type="dxa"/>
          <w:left w:w="108" w:type="dxa"/>
          <w:bottom w:w="0" w:type="dxa"/>
          <w:right w:w="108" w:type="dxa"/>
        </w:tblCellMar>
      </w:tblPr>
      <w:tblGrid>
        <w:gridCol w:w="1017"/>
        <w:gridCol w:w="8879"/>
        <w:gridCol w:w="1678"/>
        <w:gridCol w:w="1090"/>
        <w:gridCol w:w="921"/>
      </w:tblGrid>
      <w:tr>
        <w:tblPrEx>
          <w:tblCellMar>
            <w:top w:w="0" w:type="dxa"/>
            <w:left w:w="108" w:type="dxa"/>
            <w:bottom w:w="0" w:type="dxa"/>
            <w:right w:w="108" w:type="dxa"/>
          </w:tblCellMar>
        </w:tblPrEx>
        <w:trPr>
          <w:trHeight w:val="517" w:hRule="atLeast"/>
        </w:trPr>
        <w:tc>
          <w:tcPr>
            <w:tcW w:w="13585" w:type="dxa"/>
            <w:gridSpan w:val="5"/>
            <w:tcBorders>
              <w:top w:val="nil"/>
              <w:left w:val="nil"/>
              <w:bottom w:val="nil"/>
              <w:right w:val="nil"/>
            </w:tcBorders>
            <w:shd w:val="clear" w:color="auto" w:fill="auto"/>
            <w:noWrap/>
            <w:vAlign w:val="center"/>
          </w:tcPr>
          <w:p>
            <w:pPr>
              <w:widowControl/>
              <w:jc w:val="center"/>
              <w:textAlignment w:val="center"/>
              <w:rPr>
                <w:rFonts w:ascii="方正小标宋简体" w:hAnsi="方正小标宋简体" w:eastAsia="方正小标宋简体" w:cs="方正小标宋简体"/>
                <w:color w:val="000000" w:themeColor="text1"/>
                <w:sz w:val="40"/>
                <w:szCs w:val="40"/>
              </w:rPr>
            </w:pPr>
            <w:bookmarkStart w:id="25" w:name="_Toc27359"/>
            <w:r>
              <w:rPr>
                <w:rFonts w:hint="eastAsia" w:ascii="方正小标宋简体" w:hAnsi="方正小标宋简体" w:eastAsia="方正小标宋简体" w:cs="方正小标宋简体"/>
                <w:color w:val="000000" w:themeColor="text1"/>
                <w:kern w:val="0"/>
                <w:sz w:val="40"/>
                <w:szCs w:val="40"/>
              </w:rPr>
              <w:t>城市排水有限空间作业安全检查表</w:t>
            </w:r>
          </w:p>
        </w:tc>
      </w:tr>
      <w:tr>
        <w:tblPrEx>
          <w:tblCellMar>
            <w:top w:w="0" w:type="dxa"/>
            <w:left w:w="108" w:type="dxa"/>
            <w:bottom w:w="0" w:type="dxa"/>
            <w:right w:w="108" w:type="dxa"/>
          </w:tblCellMar>
        </w:tblPrEx>
        <w:trPr>
          <w:trHeight w:val="405" w:hRule="atLeast"/>
        </w:trPr>
        <w:tc>
          <w:tcPr>
            <w:tcW w:w="9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检查内容</w:t>
            </w:r>
          </w:p>
        </w:tc>
        <w:tc>
          <w:tcPr>
            <w:tcW w:w="16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检查方式</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是/否</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宋体" w:eastAsia="黑体" w:cs="黑体"/>
                <w:color w:val="000000" w:themeColor="text1"/>
                <w:sz w:val="32"/>
                <w:szCs w:val="32"/>
              </w:rPr>
            </w:pPr>
            <w:r>
              <w:rPr>
                <w:rFonts w:hint="eastAsia" w:ascii="黑体" w:hAnsi="宋体" w:eastAsia="黑体" w:cs="黑体"/>
                <w:color w:val="000000" w:themeColor="text1"/>
                <w:kern w:val="0"/>
                <w:sz w:val="32"/>
                <w:szCs w:val="32"/>
              </w:rPr>
              <w:t>备注</w:t>
            </w:r>
          </w:p>
        </w:tc>
      </w:tr>
      <w:tr>
        <w:tblPrEx>
          <w:tblCellMar>
            <w:top w:w="0" w:type="dxa"/>
            <w:left w:w="108" w:type="dxa"/>
            <w:bottom w:w="0" w:type="dxa"/>
            <w:right w:w="108" w:type="dxa"/>
          </w:tblCellMar>
        </w:tblPrEx>
        <w:trPr>
          <w:trHeight w:val="402"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教育培训方面</w:t>
            </w: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从业人员是否接受日常培训和有限空间作业专项培训；</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检查资料和问询人员</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是否掌握有限空间作业安全操作规程；</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是否掌握现场处置方案。</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警示标识方面</w:t>
            </w: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有限空间场所是否设置有效门禁等隔离措施；</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检查有限空间场所</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60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门禁、隔离、井盖等是否喷涂“先通风、再检测、后作业”安全作业要点和有关风险的警示标志；</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是否在有限空间入口醒目位置张贴安全操作规程。</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600"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作业审批方面</w:t>
            </w: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是否编制详实的作业方案明确现场人员职责、安全措施、操作流程等内容，是否经本单位安全生产管理人员审核、负责人批准；</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检查作业批准票据、作业方案和作业现场</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60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是否按（参）照《山东省企业危险作业报告管理办法》（鲁应急字〔2022〕70号），及时如实报告有限空间作业信息；</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有限空间权属单位是否安排专人具体负责现场管理监护，是否落实现场管理监护措施。</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600"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个人防护方面</w:t>
            </w: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是否按照标准配备专业气体检测仪器、便携式气体报警仪，根据需要配备呼吸防护用品及其它防护设备；</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检查有限空间作业现场设备和作业单位物资储备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60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作业前是否使用泵吸式气体检测报警仪对有限空间内气体进行检测，存在积水淤泥、物料残渣时必须在有限空间外利用工具进行充分搅动；</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检测气体浓度不合格的是否进行强制通风，在检测结果合格后方可作业。</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企业主体责任方面</w:t>
            </w: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是否建立有限空间管理台账；</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检查资料和问询人员</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是否组织员工登录“全国安全生产月”网站开展学习；</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402"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是否认真开展自查自改；</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r>
        <w:tblPrEx>
          <w:tblCellMar>
            <w:top w:w="0" w:type="dxa"/>
            <w:left w:w="108" w:type="dxa"/>
            <w:bottom w:w="0" w:type="dxa"/>
            <w:right w:w="108" w:type="dxa"/>
          </w:tblCellMar>
        </w:tblPrEx>
        <w:trPr>
          <w:trHeight w:val="60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8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eastAsia="仿宋_GB2312" w:cs="仿宋_GB2312"/>
                <w:color w:val="000000" w:themeColor="text1"/>
                <w:sz w:val="24"/>
              </w:rPr>
            </w:pPr>
            <w:r>
              <w:rPr>
                <w:rFonts w:hint="eastAsia" w:ascii="仿宋_GB2312" w:hAnsi="宋体" w:eastAsia="仿宋_GB2312" w:cs="仿宋_GB2312"/>
                <w:color w:val="000000" w:themeColor="text1"/>
                <w:kern w:val="0"/>
                <w:sz w:val="24"/>
              </w:rPr>
              <w:t>是否落实《全省有限空间作业安全专项整治方案》（鲁安办字〔2023〕35号）明确的风险排查辨识、现场技术措施、应急救援保障等7项要求。</w:t>
            </w: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000000" w:themeColor="text1"/>
                <w:sz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_GB2312" w:eastAsia="仿宋_GB2312" w:cs="仿宋_GB2312"/>
                <w:color w:val="000000" w:themeColor="text1"/>
                <w:sz w:val="24"/>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仿宋_GB2312" w:eastAsia="仿宋_GB2312" w:cs="仿宋_GB2312"/>
                <w:color w:val="000000" w:themeColor="text1"/>
                <w:sz w:val="24"/>
              </w:rPr>
            </w:pPr>
          </w:p>
        </w:tc>
      </w:tr>
    </w:tbl>
    <w:p>
      <w:pPr>
        <w:ind w:firstLine="643" w:firstLineChars="200"/>
        <w:rPr>
          <w:rFonts w:ascii="楷体_GB2312" w:hAnsi="楷体_GB2312" w:eastAsia="楷体_GB2312" w:cs="楷体_GB2312"/>
          <w:b/>
          <w:bCs/>
          <w:color w:val="000000" w:themeColor="text1"/>
          <w:sz w:val="32"/>
          <w:szCs w:val="32"/>
        </w:rPr>
        <w:sectPr>
          <w:footerReference r:id="rId14" w:type="default"/>
          <w:pgSz w:w="16838" w:h="11906" w:orient="landscape"/>
          <w:pgMar w:top="1800" w:right="1440" w:bottom="1800" w:left="1440" w:header="851" w:footer="992" w:gutter="0"/>
          <w:cols w:space="720" w:num="1"/>
          <w:docGrid w:type="lines" w:linePitch="312" w:charSpace="0"/>
        </w:sectPr>
      </w:pPr>
    </w:p>
    <w:p>
      <w:pPr>
        <w:spacing w:line="578" w:lineRule="exact"/>
        <w:ind w:firstLine="643" w:firstLineChars="200"/>
        <w:outlineLvl w:val="2"/>
        <w:rPr>
          <w:rFonts w:ascii="楷体_GB2312" w:hAnsi="楷体_GB2312" w:eastAsia="楷体_GB2312" w:cs="楷体_GB2312"/>
          <w:b/>
          <w:bCs/>
          <w:color w:val="000000" w:themeColor="text1"/>
          <w:sz w:val="32"/>
          <w:szCs w:val="32"/>
        </w:rPr>
      </w:pPr>
      <w:bookmarkStart w:id="26" w:name="_Toc10168"/>
      <w:r>
        <w:rPr>
          <w:rFonts w:hint="eastAsia" w:ascii="楷体_GB2312" w:hAnsi="楷体_GB2312" w:eastAsia="楷体_GB2312" w:cs="楷体_GB2312"/>
          <w:b/>
          <w:bCs/>
          <w:color w:val="000000" w:themeColor="text1"/>
          <w:sz w:val="32"/>
          <w:szCs w:val="32"/>
        </w:rPr>
        <w:t>2.城市公园</w:t>
      </w:r>
      <w:bookmarkEnd w:id="25"/>
      <w:r>
        <w:rPr>
          <w:rFonts w:hint="eastAsia" w:ascii="楷体_GB2312" w:hAnsi="楷体_GB2312" w:eastAsia="楷体_GB2312" w:cs="楷体_GB2312"/>
          <w:b/>
          <w:bCs/>
          <w:color w:val="000000" w:themeColor="text1"/>
          <w:sz w:val="32"/>
          <w:szCs w:val="32"/>
        </w:rPr>
        <w:t>方面</w:t>
      </w:r>
      <w:bookmarkEnd w:id="26"/>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一、督导内容</w:t>
      </w:r>
    </w:p>
    <w:p>
      <w:pPr>
        <w:spacing w:line="578" w:lineRule="exact"/>
        <w:ind w:firstLine="64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（一）督导主管部门内容</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落实习近平总书记关于安全生产工作重要指示批示精神，省委、省政府关于安全生产决策部署，省厅关于安全生产工作安排情况，安全生产工作任务清单任务落实情况。组织开展城市公园与相关广场安全生产检查、安全教育培训及应急演练情况。</w:t>
      </w:r>
    </w:p>
    <w:p>
      <w:pPr>
        <w:spacing w:line="578" w:lineRule="exact"/>
        <w:ind w:firstLine="64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（二）督导项目内容</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1.城市公园广场安全责任制建立落实情况。城市公园广场安全管理责任制度建立实行情况，安全生产责任书签订等情况。</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城市公园广场应急管理工作情况。城市公园广场应对各类突发事件的应急预案制定情况，应急演练定期开展情况；节假日期间重点时段、重点区域风险预判及应急管理情况。举办大型活动规范申报备案等工作情况。</w:t>
      </w:r>
    </w:p>
    <w:p>
      <w:pPr>
        <w:spacing w:line="578" w:lineRule="exact"/>
        <w:ind w:firstLine="640"/>
        <w:rPr>
          <w:color w:val="000000" w:themeColor="text1"/>
        </w:rPr>
      </w:pPr>
      <w:r>
        <w:rPr>
          <w:rFonts w:hint="eastAsia" w:ascii="仿宋_GB2312" w:hAnsi="仿宋_GB2312" w:eastAsia="仿宋_GB2312" w:cs="仿宋_GB2312"/>
          <w:color w:val="000000" w:themeColor="text1"/>
          <w:sz w:val="32"/>
          <w:szCs w:val="32"/>
        </w:rPr>
        <w:t>3.配套设施设备、隐患及关键区域排查情况。城市公园广场内大型游乐设施、索道缆车、水上游乐游览设施设备、健身设施等日常巡检维护情况；结冰水面、城市山体、玻璃栈道等关键区域安全警示标识设置、视频监控等安全管理情况；供电、配电设备设施安全维护情况；城市动物园游览、防止动物逃逸、伤人等安全管理情况。</w:t>
      </w:r>
    </w:p>
    <w:p>
      <w:pPr>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城市公园防火工作情况。城市公园、特别是城市山体公园等区域的火灾预防巡查情况；携带火种进山、林下用火等违法违规行为查处情况；易燃枯枝、枯叶及枯草（特别是林木下枯草）及时清理、修剪等安全隐患排查情况；电线、变电箱等设施设备的规范管理及安全防护情况；防火设备、物料准备情况。</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5.安全教育培训情况。对城市公园广场管理人员、相关作业人员的安全教育培训工作开展情况。</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三、督导程序</w:t>
      </w:r>
    </w:p>
    <w:p>
      <w:pPr>
        <w:spacing w:line="578" w:lineRule="exact"/>
        <w:ind w:firstLine="64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（一）听取工作汇报</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听取主管部门关于城市公园广场安全管理的工作情况汇报。</w:t>
      </w:r>
    </w:p>
    <w:p>
      <w:pPr>
        <w:spacing w:line="578" w:lineRule="exact"/>
        <w:ind w:firstLine="64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（二）查看资料台账</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重点查阅以下资料：1.城市公园广场安全管理相关制度、安全生产责任书等;2.公园广场安全应急管理预案，应急演练相关记录材料，节假日期间应急管控工作记录；3.公园广场内的游乐游览设施等设施、设备巡检制度，问题排查整改台账；4.城市公园防火制度、日常巡检记录、防火设备物料台账。5.城市公园广场管理、作业人员安全培训记录等材料。6.大型活动申报备案资料。</w:t>
      </w:r>
    </w:p>
    <w:p>
      <w:pPr>
        <w:spacing w:line="578" w:lineRule="exact"/>
        <w:ind w:firstLine="64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 xml:space="preserve">（三）现场抽查 </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1.现场查看大型游乐设施、索道缆车等游览设施、健身设施、供配电设备等关键设施、部位日常巡检、隐患排查整治、维护管理等情况；</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2.现场查看关键区域相关安全警示标示设置情况，安全教育宣传措施落实情况；</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3.现场检查城市公园防火安全管理情况，防火设备、物资准备等情况。</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四、现场检查项目来源</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从各地城市公园中随机抽取至少2个进行检查，特别是重点抽查具有大型游乐设施、索道缆车和水面游览设施的城市综合性公园、城市山体公园、动物园等城市公园。</w:t>
      </w: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五、下达整改通知书</w:t>
      </w:r>
    </w:p>
    <w:p>
      <w:pPr>
        <w:spacing w:line="578" w:lineRule="exact"/>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对检查中发现的安全管理责任不落实、存在重大安全管理隐患的城市公园、广场项目下达问题整改通知书（1式2份）。</w:t>
      </w:r>
    </w:p>
    <w:p>
      <w:pPr>
        <w:spacing w:line="578" w:lineRule="exact"/>
        <w:ind w:firstLine="64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联络员：石峰  15253173259</w:t>
      </w:r>
    </w:p>
    <w:p>
      <w:pPr>
        <w:ind w:firstLine="640"/>
        <w:rPr>
          <w:rFonts w:ascii="仿宋_GB2312" w:hAnsi="仿宋_GB2312" w:eastAsia="仿宋_GB2312" w:cs="仿宋_GB2312"/>
          <w:color w:val="000000" w:themeColor="text1"/>
          <w:sz w:val="32"/>
          <w:szCs w:val="32"/>
        </w:rPr>
      </w:pPr>
    </w:p>
    <w:p>
      <w:pPr>
        <w:rPr>
          <w:rFonts w:ascii="仿宋_GB2312" w:hAnsi="仿宋_GB2312" w:eastAsia="仿宋_GB2312" w:cs="仿宋_GB2312"/>
          <w:color w:val="000000" w:themeColor="text1"/>
          <w:sz w:val="32"/>
          <w:szCs w:val="32"/>
        </w:rPr>
      </w:pPr>
    </w:p>
    <w:p>
      <w:pPr>
        <w:ind w:firstLine="640"/>
        <w:rPr>
          <w:rFonts w:ascii="仿宋_GB2312" w:hAnsi="仿宋_GB2312" w:eastAsia="仿宋_GB2312" w:cs="仿宋_GB2312"/>
          <w:color w:val="000000" w:themeColor="text1"/>
          <w:sz w:val="32"/>
          <w:szCs w:val="32"/>
        </w:rPr>
      </w:pPr>
    </w:p>
    <w:p>
      <w:pPr>
        <w:ind w:firstLine="640"/>
        <w:rPr>
          <w:rFonts w:ascii="仿宋_GB2312" w:hAnsi="仿宋_GB2312" w:eastAsia="仿宋_GB2312" w:cs="仿宋_GB2312"/>
          <w:color w:val="000000" w:themeColor="text1"/>
          <w:sz w:val="32"/>
          <w:szCs w:val="32"/>
        </w:rPr>
      </w:pPr>
    </w:p>
    <w:p>
      <w:pPr>
        <w:ind w:firstLine="640"/>
        <w:rPr>
          <w:rFonts w:ascii="仿宋_GB2312" w:hAnsi="仿宋_GB2312" w:eastAsia="仿宋_GB2312" w:cs="仿宋_GB2312"/>
          <w:color w:val="000000" w:themeColor="text1"/>
          <w:sz w:val="32"/>
          <w:szCs w:val="32"/>
        </w:rPr>
      </w:pPr>
    </w:p>
    <w:p>
      <w:pPr>
        <w:ind w:firstLine="640"/>
        <w:rPr>
          <w:rFonts w:ascii="仿宋_GB2312" w:hAnsi="仿宋_GB2312" w:eastAsia="仿宋_GB2312" w:cs="仿宋_GB2312"/>
          <w:color w:val="000000" w:themeColor="text1"/>
          <w:sz w:val="32"/>
          <w:szCs w:val="32"/>
        </w:rPr>
      </w:pPr>
    </w:p>
    <w:p>
      <w:pPr>
        <w:ind w:firstLine="640"/>
        <w:rPr>
          <w:rFonts w:ascii="仿宋_GB2312" w:hAnsi="仿宋_GB2312" w:eastAsia="仿宋_GB2312" w:cs="仿宋_GB2312"/>
          <w:color w:val="000000" w:themeColor="text1"/>
          <w:sz w:val="32"/>
          <w:szCs w:val="32"/>
        </w:rPr>
        <w:sectPr>
          <w:pgSz w:w="11906" w:h="16838"/>
          <w:pgMar w:top="1440" w:right="1800" w:bottom="1440" w:left="1800" w:header="851" w:footer="992" w:gutter="0"/>
          <w:cols w:space="720" w:num="1"/>
          <w:docGrid w:type="lines" w:linePitch="312" w:charSpace="0"/>
        </w:sectPr>
      </w:pPr>
    </w:p>
    <w:p>
      <w:pPr>
        <w:jc w:val="center"/>
        <w:rPr>
          <w:rFonts w:ascii="方正小标宋简体" w:hAnsi="方正小标宋简体" w:eastAsia="方正小标宋简体" w:cs="方正小标宋简体"/>
          <w:color w:val="000000" w:themeColor="text1"/>
          <w:sz w:val="44"/>
          <w:szCs w:val="44"/>
        </w:rPr>
      </w:pPr>
      <w:bookmarkStart w:id="27" w:name="_Toc3216"/>
      <w:r>
        <w:rPr>
          <w:rFonts w:hint="eastAsia" w:ascii="方正小标宋简体" w:hAnsi="方正小标宋简体" w:eastAsia="方正小标宋简体" w:cs="方正小标宋简体"/>
          <w:color w:val="000000" w:themeColor="text1"/>
          <w:sz w:val="44"/>
          <w:szCs w:val="44"/>
        </w:rPr>
        <w:t>全省城市公园广场安全检查现场检查表</w:t>
      </w:r>
    </w:p>
    <w:p>
      <w:pPr>
        <w:rPr>
          <w:rFonts w:ascii="黑体" w:hAnsi="黑体" w:eastAsia="黑体" w:cs="黑体"/>
          <w:color w:val="000000" w:themeColor="text1"/>
          <w:sz w:val="24"/>
          <w:u w:val="single"/>
        </w:rPr>
      </w:pPr>
      <w:r>
        <w:rPr>
          <w:rFonts w:hint="eastAsia" w:ascii="黑体" w:hAnsi="黑体" w:eastAsia="黑体" w:cs="黑体"/>
          <w:color w:val="000000" w:themeColor="text1"/>
          <w:sz w:val="24"/>
        </w:rPr>
        <w:t>城市（县城）</w:t>
      </w:r>
    </w:p>
    <w:tbl>
      <w:tblPr>
        <w:tblStyle w:val="15"/>
        <w:tblpPr w:leftFromText="180" w:rightFromText="180" w:vertAnchor="text" w:horzAnchor="page" w:tblpX="1285" w:tblpY="2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280"/>
        <w:gridCol w:w="4113"/>
        <w:gridCol w:w="1264"/>
        <w:gridCol w:w="4686"/>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740" w:type="dxa"/>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序号</w:t>
            </w:r>
          </w:p>
        </w:tc>
        <w:tc>
          <w:tcPr>
            <w:tcW w:w="2280" w:type="dxa"/>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检查项目</w:t>
            </w:r>
          </w:p>
        </w:tc>
        <w:tc>
          <w:tcPr>
            <w:tcW w:w="4113" w:type="dxa"/>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检查内容</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是否达到相关要求</w:t>
            </w: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存在主要问题</w:t>
            </w: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40" w:type="dxa"/>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w:t>
            </w:r>
          </w:p>
        </w:tc>
        <w:tc>
          <w:tcPr>
            <w:tcW w:w="2280"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城市公园广场安全责任制建立情况</w:t>
            </w: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1.城市公园广场是否建立安全管理责任制度，是否规范签订安全生产责任书，安全生产责任是否落实到位。</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40" w:type="dxa"/>
            <w:vMerge w:val="restart"/>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2</w:t>
            </w:r>
          </w:p>
        </w:tc>
        <w:tc>
          <w:tcPr>
            <w:tcW w:w="2280" w:type="dxa"/>
            <w:vMerge w:val="restart"/>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城市公园广场应急管理工作情况</w:t>
            </w: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2.是否制定城市公园广场应对各类突发事件的应急预案。</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vAlign w:val="center"/>
          </w:tcPr>
          <w:p>
            <w:pPr>
              <w:widowControl/>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3.是否科学开展节假日期间重点时段、重点区域人员过度聚集等风险开展预判评估，并制定相应方案措施。</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vAlign w:val="center"/>
          </w:tcPr>
          <w:p>
            <w:pPr>
              <w:widowControl/>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4.是否有针对性地开展应急演练。</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vAlign w:val="center"/>
          </w:tcPr>
          <w:p>
            <w:pPr>
              <w:widowControl/>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5.是否对演练情况开展分析评估。</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vAlign w:val="center"/>
          </w:tcPr>
          <w:p>
            <w:pPr>
              <w:widowControl/>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6.举办大型活动是否按照相关要求向公安等部门进行申报备案。</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40" w:type="dxa"/>
            <w:vMerge w:val="restart"/>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4</w:t>
            </w:r>
          </w:p>
        </w:tc>
        <w:tc>
          <w:tcPr>
            <w:tcW w:w="2280" w:type="dxa"/>
            <w:vMerge w:val="restart"/>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关键设施、设备、区域隐患排查整治</w:t>
            </w:r>
          </w:p>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情况</w:t>
            </w: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7.是否对城市公园广场内的大型游乐设施、水上游乐游览设施设备、索道缆车等游览设施、健身设施日常巡检维护情况开展全面排查。</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tcPr>
          <w:p>
            <w:pPr>
              <w:widowControl/>
              <w:jc w:val="left"/>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8.是否定期对供电、配电设备设施进行安全维护。</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tcPr>
          <w:p>
            <w:pPr>
              <w:widowControl/>
              <w:jc w:val="left"/>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9.是否在结冰水面、山体等危险区域加强安全管理并规范设置警示标识。</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tcPr>
          <w:p>
            <w:pPr>
              <w:widowControl/>
              <w:jc w:val="left"/>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10.是否建立隐患排查巡检维护工作台账。</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vAlign w:val="center"/>
          </w:tcPr>
          <w:p>
            <w:pPr>
              <w:widowControl/>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11.城市动物园管理是否规范有序，动物安全防护、防逃逸、防疫措施是否落实到位。</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40" w:type="dxa"/>
            <w:vMerge w:val="restart"/>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5</w:t>
            </w:r>
          </w:p>
        </w:tc>
        <w:tc>
          <w:tcPr>
            <w:tcW w:w="2280" w:type="dxa"/>
            <w:vMerge w:val="restart"/>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城市公园防火工作情况</w:t>
            </w: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12.公园防火工作制度是否完善，防火设备是否规范配备，物料准备是否充足。</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vAlign w:val="center"/>
          </w:tcPr>
          <w:p>
            <w:pPr>
              <w:widowControl/>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13.是否定期开展城市公园火灾预防巡查，并建立巡检台账。</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7"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vAlign w:val="center"/>
          </w:tcPr>
          <w:p>
            <w:pPr>
              <w:widowControl/>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14.是否及时发现清除易燃枯枝、枯叶及枯草（特别是林木下枯草）等安全隐患。</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40" w:type="dxa"/>
            <w:vMerge w:val="continue"/>
            <w:noWrap/>
            <w:vAlign w:val="center"/>
          </w:tcPr>
          <w:p>
            <w:pPr>
              <w:widowControl/>
              <w:jc w:val="center"/>
              <w:rPr>
                <w:rFonts w:ascii="仿宋_GB2312" w:hAnsi="仿宋_GB2312" w:eastAsia="仿宋_GB2312" w:cs="仿宋_GB2312"/>
                <w:color w:val="000000" w:themeColor="text1"/>
                <w:kern w:val="0"/>
                <w:sz w:val="24"/>
              </w:rPr>
            </w:pPr>
          </w:p>
        </w:tc>
        <w:tc>
          <w:tcPr>
            <w:tcW w:w="2280" w:type="dxa"/>
            <w:vMerge w:val="continue"/>
            <w:noWrap/>
            <w:vAlign w:val="center"/>
          </w:tcPr>
          <w:p>
            <w:pPr>
              <w:widowControl/>
              <w:rPr>
                <w:rFonts w:ascii="仿宋_GB2312" w:hAnsi="仿宋_GB2312" w:eastAsia="仿宋_GB2312" w:cs="仿宋_GB2312"/>
                <w:color w:val="000000" w:themeColor="text1"/>
                <w:kern w:val="0"/>
                <w:sz w:val="24"/>
              </w:rPr>
            </w:pP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15.电线、变电箱等设施设备的防火管理是否规范。</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40" w:type="dxa"/>
            <w:noWrap/>
            <w:vAlign w:val="center"/>
          </w:tcPr>
          <w:p>
            <w:pPr>
              <w:widowControl/>
              <w:jc w:val="center"/>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6</w:t>
            </w:r>
          </w:p>
        </w:tc>
        <w:tc>
          <w:tcPr>
            <w:tcW w:w="2280"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安全教育培训情况</w:t>
            </w:r>
          </w:p>
        </w:tc>
        <w:tc>
          <w:tcPr>
            <w:tcW w:w="4113" w:type="dxa"/>
            <w:noWrap/>
            <w:vAlign w:val="center"/>
          </w:tcPr>
          <w:p>
            <w:pPr>
              <w:widowControl/>
              <w:rPr>
                <w:rFonts w:ascii="仿宋_GB2312" w:hAnsi="仿宋_GB2312" w:eastAsia="仿宋_GB2312" w:cs="仿宋_GB2312"/>
                <w:color w:val="000000" w:themeColor="text1"/>
                <w:kern w:val="0"/>
                <w:sz w:val="24"/>
              </w:rPr>
            </w:pPr>
            <w:r>
              <w:rPr>
                <w:rFonts w:hint="eastAsia" w:ascii="仿宋_GB2312" w:hAnsi="仿宋_GB2312" w:eastAsia="仿宋_GB2312" w:cs="仿宋_GB2312"/>
                <w:color w:val="000000" w:themeColor="text1"/>
                <w:kern w:val="0"/>
                <w:sz w:val="24"/>
              </w:rPr>
              <w:t>16.是否定期对城市公园广场管理人员、相关作业人员开展安全教育培训。</w:t>
            </w:r>
          </w:p>
        </w:tc>
        <w:tc>
          <w:tcPr>
            <w:tcW w:w="1264"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4686"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c>
          <w:tcPr>
            <w:tcW w:w="893" w:type="dxa"/>
            <w:noWrap/>
            <w:vAlign w:val="center"/>
          </w:tcPr>
          <w:p>
            <w:pPr>
              <w:widowControl/>
              <w:spacing w:line="260" w:lineRule="exact"/>
              <w:jc w:val="center"/>
              <w:rPr>
                <w:rFonts w:ascii="仿宋_GB2312" w:hAnsi="仿宋_GB2312" w:eastAsia="仿宋_GB2312" w:cs="仿宋_GB2312"/>
                <w:color w:val="000000" w:themeColor="text1"/>
                <w:kern w:val="0"/>
                <w:sz w:val="24"/>
              </w:rPr>
            </w:pPr>
          </w:p>
        </w:tc>
      </w:tr>
    </w:tbl>
    <w:p>
      <w:pPr>
        <w:pStyle w:val="8"/>
        <w:ind w:firstLine="220" w:firstLineChars="100"/>
        <w:rPr>
          <w:rFonts w:ascii="楷体_GB2312" w:eastAsia="楷体_GB2312"/>
          <w:color w:val="000000" w:themeColor="text1"/>
          <w:sz w:val="44"/>
          <w:szCs w:val="44"/>
        </w:rPr>
      </w:pPr>
      <w:r>
        <w:rPr>
          <w:rFonts w:hint="eastAsia" w:ascii="仿宋_GB2312" w:hAnsi="宋体" w:eastAsia="仿宋_GB2312" w:cs="宋体"/>
          <w:color w:val="000000" w:themeColor="text1"/>
          <w:kern w:val="0"/>
          <w:sz w:val="22"/>
          <w:szCs w:val="22"/>
        </w:rPr>
        <w:t>备注：如未举办过大型活动则第6项不需检查，如当地没有城市动物园则11项不需检查。</w:t>
      </w:r>
    </w:p>
    <w:p>
      <w:pPr>
        <w:ind w:firstLine="640"/>
        <w:jc w:val="center"/>
        <w:rPr>
          <w:rFonts w:ascii="黑体" w:hAnsi="黑体" w:eastAsia="黑体" w:cs="黑体"/>
          <w:color w:val="000000" w:themeColor="text1"/>
          <w:sz w:val="32"/>
          <w:szCs w:val="32"/>
        </w:rPr>
        <w:sectPr>
          <w:pgSz w:w="16838" w:h="11906" w:orient="landscape"/>
          <w:pgMar w:top="1417" w:right="1440" w:bottom="1417" w:left="1440" w:header="851" w:footer="992" w:gutter="0"/>
          <w:cols w:space="0" w:num="1"/>
          <w:docGrid w:type="linesAndChars" w:linePitch="312" w:charSpace="0"/>
        </w:sectPr>
      </w:pPr>
    </w:p>
    <w:p>
      <w:pPr>
        <w:ind w:firstLine="641"/>
        <w:jc w:val="center"/>
        <w:outlineLvl w:val="1"/>
        <w:rPr>
          <w:rFonts w:ascii="黑体" w:hAnsi="黑体" w:eastAsia="黑体" w:cs="黑体"/>
          <w:color w:val="000000" w:themeColor="text1"/>
          <w:sz w:val="32"/>
          <w:szCs w:val="32"/>
        </w:rPr>
      </w:pPr>
      <w:bookmarkStart w:id="28" w:name="_Toc23977"/>
      <w:r>
        <w:rPr>
          <w:rFonts w:hint="eastAsia" w:ascii="黑体" w:hAnsi="黑体" w:eastAsia="黑体" w:cs="黑体"/>
          <w:color w:val="000000" w:themeColor="text1"/>
          <w:sz w:val="32"/>
          <w:szCs w:val="32"/>
        </w:rPr>
        <w:t>（五）物业服务部分</w:t>
      </w:r>
      <w:bookmarkEnd w:id="27"/>
      <w:bookmarkEnd w:id="28"/>
    </w:p>
    <w:p>
      <w:pPr>
        <w:ind w:firstLine="640"/>
        <w:rPr>
          <w:rFonts w:ascii="仿宋_GB2312" w:hAnsi="仿宋_GB2312" w:eastAsia="仿宋_GB2312" w:cs="仿宋_GB2312"/>
          <w:color w:val="000000" w:themeColor="text1"/>
          <w:sz w:val="32"/>
          <w:szCs w:val="32"/>
        </w:rPr>
      </w:pP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一、重点帮扶内容</w:t>
      </w:r>
    </w:p>
    <w:p>
      <w:pPr>
        <w:ind w:firstLine="64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共用部位和共用设施设备的维修、养护和管理情况；2.小区道路、广场、楼道等公共区域及门禁、监控、管道井等公共设施设备运行管理情况；3.安全生产制度、安全生产教育、应急预案及演练情况、日常巡查记录；4.物业住宅小区电动自行车停放、充电管理情况，消防车通道畅通情况。</w:t>
      </w:r>
    </w:p>
    <w:p>
      <w:pPr>
        <w:ind w:firstLine="640"/>
        <w:rPr>
          <w:rFonts w:ascii="仿宋_GB2312" w:hAnsi="仿宋_GB2312" w:eastAsia="仿宋_GB2312" w:cs="仿宋_GB2312"/>
          <w:color w:val="000000" w:themeColor="text1"/>
          <w:sz w:val="32"/>
          <w:szCs w:val="32"/>
        </w:rPr>
      </w:pPr>
      <w:r>
        <w:rPr>
          <w:rFonts w:hint="eastAsia" w:ascii="黑体" w:hAnsi="黑体" w:eastAsia="黑体" w:cs="黑体"/>
          <w:color w:val="000000" w:themeColor="text1"/>
          <w:sz w:val="32"/>
          <w:szCs w:val="32"/>
        </w:rPr>
        <w:t>二、检查方式</w:t>
      </w:r>
    </w:p>
    <w:p>
      <w:pPr>
        <w:snapToGrid w:val="0"/>
        <w:spacing w:line="578"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每市抽查2个县（市、区），每个县（市、区）至少抽查2个住宅物业服务项目。</w:t>
      </w:r>
    </w:p>
    <w:p>
      <w:pPr>
        <w:ind w:firstLine="64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联络员：范佳慧</w:t>
      </w:r>
      <w:r>
        <w:rPr>
          <w:rFonts w:hint="eastAsia" w:ascii="黑体" w:hAnsi="黑体" w:eastAsia="黑体" w:cs="黑体"/>
          <w:color w:val="000000" w:themeColor="text1"/>
          <w:sz w:val="32"/>
          <w:szCs w:val="32"/>
        </w:rPr>
        <w:tab/>
      </w:r>
      <w:r>
        <w:rPr>
          <w:rFonts w:hint="eastAsia" w:ascii="黑体" w:hAnsi="黑体" w:eastAsia="黑体" w:cs="黑体"/>
          <w:color w:val="000000" w:themeColor="text1"/>
          <w:sz w:val="32"/>
          <w:szCs w:val="32"/>
        </w:rPr>
        <w:t xml:space="preserve"> 15253173259</w:t>
      </w:r>
    </w:p>
    <w:p>
      <w:pPr>
        <w:rPr>
          <w:rFonts w:ascii="黑体" w:hAnsi="黑体" w:eastAsia="黑体" w:cs="黑体"/>
          <w:color w:val="000000" w:themeColor="text1"/>
        </w:rPr>
        <w:sectPr>
          <w:pgSz w:w="11906" w:h="16838"/>
          <w:pgMar w:top="1440" w:right="1417" w:bottom="1440" w:left="1417" w:header="851" w:footer="992" w:gutter="0"/>
          <w:cols w:space="0" w:num="1"/>
          <w:docGrid w:type="linesAndChars" w:linePitch="312" w:charSpace="0"/>
        </w:sectPr>
      </w:pPr>
    </w:p>
    <w:p>
      <w:pPr>
        <w:jc w:val="center"/>
        <w:rPr>
          <w:rFonts w:eastAsia="黑体"/>
          <w:color w:val="000000" w:themeColor="text1"/>
        </w:rPr>
      </w:pPr>
      <w:r>
        <w:rPr>
          <w:rFonts w:hint="eastAsia" w:ascii="黑体" w:hAnsi="黑体" w:eastAsia="黑体" w:cs="楷体_GB2312"/>
          <w:color w:val="000000" w:themeColor="text1"/>
          <w:sz w:val="24"/>
        </w:rPr>
        <w:t>物业服务项目安全检查现场检查表</w:t>
      </w:r>
    </w:p>
    <w:tbl>
      <w:tblPr>
        <w:tblStyle w:val="15"/>
        <w:tblW w:w="12463" w:type="dxa"/>
        <w:jc w:val="center"/>
        <w:tblLayout w:type="fixed"/>
        <w:tblCellMar>
          <w:top w:w="0" w:type="dxa"/>
          <w:left w:w="108" w:type="dxa"/>
          <w:bottom w:w="0" w:type="dxa"/>
          <w:right w:w="108" w:type="dxa"/>
        </w:tblCellMar>
      </w:tblPr>
      <w:tblGrid>
        <w:gridCol w:w="838"/>
        <w:gridCol w:w="1600"/>
        <w:gridCol w:w="4595"/>
        <w:gridCol w:w="2293"/>
        <w:gridCol w:w="3137"/>
      </w:tblGrid>
      <w:tr>
        <w:tblPrEx>
          <w:tblCellMar>
            <w:top w:w="0" w:type="dxa"/>
            <w:left w:w="108" w:type="dxa"/>
            <w:bottom w:w="0" w:type="dxa"/>
            <w:right w:w="108" w:type="dxa"/>
          </w:tblCellMar>
        </w:tblPrEx>
        <w:trPr>
          <w:trHeight w:val="660" w:hRule="atLeast"/>
          <w:jc w:val="center"/>
        </w:trPr>
        <w:tc>
          <w:tcPr>
            <w:tcW w:w="83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黑体" w:hAnsi="黑体" w:eastAsia="黑体" w:cs="宋体"/>
                <w:color w:val="000000" w:themeColor="text1"/>
                <w:kern w:val="0"/>
                <w:sz w:val="24"/>
              </w:rPr>
            </w:pPr>
            <w:r>
              <w:rPr>
                <w:rFonts w:hint="eastAsia" w:ascii="黑体" w:hAnsi="黑体" w:eastAsia="黑体" w:cs="宋体"/>
                <w:color w:val="000000" w:themeColor="text1"/>
                <w:kern w:val="0"/>
                <w:sz w:val="24"/>
              </w:rPr>
              <w:t>序号</w:t>
            </w:r>
          </w:p>
        </w:tc>
        <w:tc>
          <w:tcPr>
            <w:tcW w:w="1600" w:type="dxa"/>
            <w:tcBorders>
              <w:top w:val="single" w:color="auto" w:sz="4" w:space="0"/>
              <w:left w:val="nil"/>
              <w:bottom w:val="single" w:color="auto" w:sz="4" w:space="0"/>
              <w:right w:val="single" w:color="auto" w:sz="4" w:space="0"/>
            </w:tcBorders>
            <w:noWrap/>
            <w:vAlign w:val="center"/>
          </w:tcPr>
          <w:p>
            <w:pPr>
              <w:widowControl/>
              <w:jc w:val="center"/>
              <w:rPr>
                <w:rFonts w:ascii="黑体" w:hAnsi="黑体" w:eastAsia="黑体" w:cs="宋体"/>
                <w:color w:val="000000" w:themeColor="text1"/>
                <w:kern w:val="0"/>
                <w:sz w:val="24"/>
              </w:rPr>
            </w:pPr>
            <w:r>
              <w:rPr>
                <w:rFonts w:hint="eastAsia" w:ascii="黑体" w:hAnsi="黑体" w:eastAsia="黑体" w:cs="宋体"/>
                <w:color w:val="000000" w:themeColor="text1"/>
                <w:kern w:val="0"/>
                <w:sz w:val="24"/>
              </w:rPr>
              <w:t>检查项目</w:t>
            </w:r>
          </w:p>
        </w:tc>
        <w:tc>
          <w:tcPr>
            <w:tcW w:w="4595" w:type="dxa"/>
            <w:tcBorders>
              <w:top w:val="single" w:color="auto" w:sz="4" w:space="0"/>
              <w:left w:val="nil"/>
              <w:bottom w:val="nil"/>
              <w:right w:val="single" w:color="auto" w:sz="4" w:space="0"/>
            </w:tcBorders>
            <w:noWrap/>
            <w:vAlign w:val="center"/>
          </w:tcPr>
          <w:p>
            <w:pPr>
              <w:widowControl/>
              <w:jc w:val="center"/>
              <w:rPr>
                <w:rFonts w:ascii="黑体" w:hAnsi="黑体" w:eastAsia="黑体" w:cs="宋体"/>
                <w:color w:val="000000" w:themeColor="text1"/>
                <w:kern w:val="0"/>
                <w:sz w:val="24"/>
              </w:rPr>
            </w:pPr>
            <w:r>
              <w:rPr>
                <w:rFonts w:hint="eastAsia" w:ascii="黑体" w:hAnsi="黑体" w:eastAsia="黑体" w:cs="宋体"/>
                <w:color w:val="000000" w:themeColor="text1"/>
                <w:kern w:val="0"/>
                <w:sz w:val="24"/>
              </w:rPr>
              <w:t>检查内容</w:t>
            </w:r>
          </w:p>
        </w:tc>
        <w:tc>
          <w:tcPr>
            <w:tcW w:w="2293" w:type="dxa"/>
            <w:tcBorders>
              <w:top w:val="single" w:color="auto" w:sz="4" w:space="0"/>
              <w:left w:val="nil"/>
              <w:bottom w:val="nil"/>
              <w:right w:val="single" w:color="auto" w:sz="4" w:space="0"/>
            </w:tcBorders>
            <w:noWrap/>
            <w:vAlign w:val="center"/>
          </w:tcPr>
          <w:p>
            <w:pPr>
              <w:widowControl/>
              <w:jc w:val="center"/>
              <w:rPr>
                <w:rFonts w:ascii="黑体" w:hAnsi="黑体" w:eastAsia="黑体" w:cs="宋体"/>
                <w:color w:val="000000" w:themeColor="text1"/>
                <w:kern w:val="0"/>
                <w:sz w:val="24"/>
              </w:rPr>
            </w:pPr>
            <w:r>
              <w:rPr>
                <w:rFonts w:hint="eastAsia" w:ascii="黑体" w:hAnsi="黑体" w:eastAsia="黑体" w:cs="宋体"/>
                <w:color w:val="000000" w:themeColor="text1"/>
                <w:kern w:val="0"/>
                <w:sz w:val="24"/>
              </w:rPr>
              <w:t>是否达到相关要求</w:t>
            </w:r>
          </w:p>
        </w:tc>
        <w:tc>
          <w:tcPr>
            <w:tcW w:w="3137" w:type="dxa"/>
            <w:tcBorders>
              <w:top w:val="single" w:color="auto" w:sz="4" w:space="0"/>
              <w:left w:val="nil"/>
              <w:bottom w:val="nil"/>
              <w:right w:val="single" w:color="auto" w:sz="4" w:space="0"/>
            </w:tcBorders>
            <w:noWrap/>
            <w:vAlign w:val="center"/>
          </w:tcPr>
          <w:p>
            <w:pPr>
              <w:widowControl/>
              <w:jc w:val="center"/>
              <w:rPr>
                <w:rFonts w:ascii="黑体" w:hAnsi="黑体" w:eastAsia="黑体" w:cs="宋体"/>
                <w:color w:val="000000" w:themeColor="text1"/>
                <w:kern w:val="0"/>
                <w:sz w:val="24"/>
              </w:rPr>
            </w:pPr>
            <w:r>
              <w:rPr>
                <w:rFonts w:hint="eastAsia" w:ascii="黑体" w:hAnsi="黑体" w:eastAsia="黑体" w:cs="宋体"/>
                <w:color w:val="000000" w:themeColor="text1"/>
                <w:kern w:val="0"/>
                <w:sz w:val="24"/>
              </w:rPr>
              <w:t>存在问题</w:t>
            </w:r>
          </w:p>
        </w:tc>
      </w:tr>
      <w:tr>
        <w:tblPrEx>
          <w:tblCellMar>
            <w:top w:w="0" w:type="dxa"/>
            <w:left w:w="108" w:type="dxa"/>
            <w:bottom w:w="0" w:type="dxa"/>
            <w:right w:w="108" w:type="dxa"/>
          </w:tblCellMar>
        </w:tblPrEx>
        <w:trPr>
          <w:trHeight w:val="751" w:hRule="atLeast"/>
          <w:jc w:val="center"/>
        </w:trPr>
        <w:tc>
          <w:tcPr>
            <w:tcW w:w="838" w:type="dxa"/>
            <w:vMerge w:val="restart"/>
            <w:tcBorders>
              <w:top w:val="nil"/>
              <w:left w:val="single" w:color="auto" w:sz="4" w:space="0"/>
              <w:bottom w:val="nil"/>
              <w:right w:val="single" w:color="auto" w:sz="4" w:space="0"/>
            </w:tcBorders>
            <w:noWrap/>
            <w:vAlign w:val="center"/>
          </w:tcPr>
          <w:p>
            <w:pPr>
              <w:widowControl/>
              <w:jc w:val="center"/>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1</w:t>
            </w:r>
          </w:p>
        </w:tc>
        <w:tc>
          <w:tcPr>
            <w:tcW w:w="1600" w:type="dxa"/>
            <w:vMerge w:val="restart"/>
            <w:tcBorders>
              <w:top w:val="nil"/>
              <w:left w:val="nil"/>
              <w:bottom w:val="nil"/>
              <w:right w:val="nil"/>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安全生产制度落实情况</w:t>
            </w:r>
          </w:p>
        </w:tc>
        <w:tc>
          <w:tcPr>
            <w:tcW w:w="4595"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1.制定安全生产制度，明确安全生产关键岗位和安全生产责任。</w:t>
            </w:r>
          </w:p>
        </w:tc>
        <w:tc>
          <w:tcPr>
            <w:tcW w:w="2293"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562" w:hRule="atLeast"/>
          <w:jc w:val="center"/>
        </w:trPr>
        <w:tc>
          <w:tcPr>
            <w:tcW w:w="838" w:type="dxa"/>
            <w:vMerge w:val="continue"/>
            <w:tcBorders>
              <w:top w:val="nil"/>
              <w:left w:val="single" w:color="auto" w:sz="4" w:space="0"/>
              <w:bottom w:val="nil"/>
              <w:right w:val="single" w:color="auto" w:sz="4" w:space="0"/>
            </w:tcBorders>
            <w:noWrap/>
            <w:vAlign w:val="center"/>
          </w:tcPr>
          <w:p>
            <w:pPr>
              <w:widowControl/>
              <w:jc w:val="center"/>
              <w:rPr>
                <w:rFonts w:ascii="仿宋_GB2312" w:hAnsi="宋体" w:eastAsia="仿宋_GB2312" w:cs="宋体"/>
                <w:color w:val="000000" w:themeColor="text1"/>
                <w:kern w:val="0"/>
                <w:sz w:val="22"/>
                <w:szCs w:val="22"/>
              </w:rPr>
            </w:pPr>
          </w:p>
        </w:tc>
        <w:tc>
          <w:tcPr>
            <w:tcW w:w="1600" w:type="dxa"/>
            <w:vMerge w:val="continue"/>
            <w:tcBorders>
              <w:top w:val="nil"/>
              <w:left w:val="nil"/>
              <w:bottom w:val="nil"/>
              <w:right w:val="nil"/>
            </w:tcBorders>
            <w:noWrap/>
            <w:vAlign w:val="center"/>
          </w:tcPr>
          <w:p>
            <w:pPr>
              <w:widowControl/>
              <w:rPr>
                <w:rFonts w:ascii="仿宋_GB2312" w:hAnsi="宋体" w:eastAsia="仿宋_GB2312" w:cs="宋体"/>
                <w:color w:val="000000" w:themeColor="text1"/>
                <w:kern w:val="0"/>
                <w:sz w:val="22"/>
                <w:szCs w:val="22"/>
              </w:rPr>
            </w:pPr>
          </w:p>
        </w:tc>
        <w:tc>
          <w:tcPr>
            <w:tcW w:w="4595"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2</w:t>
            </w:r>
            <w:r>
              <w:rPr>
                <w:rFonts w:ascii="仿宋_GB2312" w:hAnsi="宋体" w:eastAsia="仿宋_GB2312" w:cs="宋体"/>
                <w:color w:val="000000" w:themeColor="text1"/>
                <w:kern w:val="0"/>
                <w:sz w:val="22"/>
                <w:szCs w:val="22"/>
              </w:rPr>
              <w:t>.</w:t>
            </w:r>
            <w:r>
              <w:rPr>
                <w:rFonts w:hint="eastAsia" w:ascii="仿宋_GB2312" w:hAnsi="宋体" w:eastAsia="仿宋_GB2312" w:cs="宋体"/>
                <w:color w:val="000000" w:themeColor="text1"/>
                <w:kern w:val="0"/>
                <w:sz w:val="22"/>
                <w:szCs w:val="22"/>
              </w:rPr>
              <w:t>定期开展安全教育和培训，保证人员具备与岗位职责相适应的安全知识。</w:t>
            </w:r>
          </w:p>
        </w:tc>
        <w:tc>
          <w:tcPr>
            <w:tcW w:w="2293"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558" w:hRule="atLeast"/>
          <w:jc w:val="center"/>
        </w:trPr>
        <w:tc>
          <w:tcPr>
            <w:tcW w:w="838" w:type="dxa"/>
            <w:vMerge w:val="continue"/>
            <w:tcBorders>
              <w:top w:val="nil"/>
              <w:left w:val="single" w:color="auto" w:sz="4" w:space="0"/>
              <w:bottom w:val="nil"/>
              <w:right w:val="single" w:color="auto" w:sz="4" w:space="0"/>
            </w:tcBorders>
            <w:noWrap/>
            <w:vAlign w:val="center"/>
          </w:tcPr>
          <w:p>
            <w:pPr>
              <w:widowControl/>
              <w:jc w:val="center"/>
              <w:rPr>
                <w:rFonts w:ascii="仿宋_GB2312" w:hAnsi="宋体" w:eastAsia="仿宋_GB2312" w:cs="宋体"/>
                <w:color w:val="000000" w:themeColor="text1"/>
                <w:kern w:val="0"/>
                <w:sz w:val="22"/>
                <w:szCs w:val="22"/>
              </w:rPr>
            </w:pPr>
          </w:p>
        </w:tc>
        <w:tc>
          <w:tcPr>
            <w:tcW w:w="1600" w:type="dxa"/>
            <w:vMerge w:val="continue"/>
            <w:tcBorders>
              <w:top w:val="nil"/>
              <w:left w:val="nil"/>
              <w:bottom w:val="nil"/>
              <w:right w:val="nil"/>
            </w:tcBorders>
            <w:noWrap/>
            <w:vAlign w:val="center"/>
          </w:tcPr>
          <w:p>
            <w:pPr>
              <w:widowControl/>
              <w:rPr>
                <w:rFonts w:ascii="仿宋_GB2312" w:hAnsi="宋体" w:eastAsia="仿宋_GB2312" w:cs="宋体"/>
                <w:color w:val="000000" w:themeColor="text1"/>
                <w:kern w:val="0"/>
                <w:sz w:val="22"/>
                <w:szCs w:val="22"/>
              </w:rPr>
            </w:pPr>
          </w:p>
        </w:tc>
        <w:tc>
          <w:tcPr>
            <w:tcW w:w="4595"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3.针对电梯困人、火灾等紧急情况编制应急预案并开展应急演练。</w:t>
            </w:r>
          </w:p>
        </w:tc>
        <w:tc>
          <w:tcPr>
            <w:tcW w:w="2293"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910" w:hRule="atLeast"/>
          <w:jc w:val="center"/>
        </w:trPr>
        <w:tc>
          <w:tcPr>
            <w:tcW w:w="838" w:type="dxa"/>
            <w:vMerge w:val="continue"/>
            <w:tcBorders>
              <w:top w:val="nil"/>
              <w:left w:val="single" w:color="auto" w:sz="4" w:space="0"/>
              <w:bottom w:val="nil"/>
              <w:right w:val="single" w:color="auto" w:sz="4" w:space="0"/>
            </w:tcBorders>
            <w:noWrap/>
            <w:vAlign w:val="center"/>
          </w:tcPr>
          <w:p>
            <w:pPr>
              <w:widowControl/>
              <w:jc w:val="center"/>
              <w:rPr>
                <w:rFonts w:ascii="仿宋_GB2312" w:hAnsi="宋体" w:eastAsia="仿宋_GB2312" w:cs="宋体"/>
                <w:color w:val="000000" w:themeColor="text1"/>
                <w:kern w:val="0"/>
                <w:sz w:val="22"/>
                <w:szCs w:val="22"/>
              </w:rPr>
            </w:pPr>
          </w:p>
        </w:tc>
        <w:tc>
          <w:tcPr>
            <w:tcW w:w="1600" w:type="dxa"/>
            <w:vMerge w:val="continue"/>
            <w:tcBorders>
              <w:top w:val="nil"/>
              <w:left w:val="nil"/>
              <w:bottom w:val="nil"/>
              <w:right w:val="nil"/>
            </w:tcBorders>
            <w:noWrap/>
            <w:vAlign w:val="center"/>
          </w:tcPr>
          <w:p>
            <w:pPr>
              <w:widowControl/>
              <w:rPr>
                <w:rFonts w:ascii="仿宋_GB2312" w:hAnsi="宋体" w:eastAsia="仿宋_GB2312" w:cs="宋体"/>
                <w:color w:val="000000" w:themeColor="text1"/>
                <w:kern w:val="0"/>
                <w:sz w:val="22"/>
                <w:szCs w:val="22"/>
              </w:rPr>
            </w:pPr>
          </w:p>
        </w:tc>
        <w:tc>
          <w:tcPr>
            <w:tcW w:w="4595"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ascii="仿宋_GB2312" w:hAnsi="宋体" w:eastAsia="仿宋_GB2312" w:cs="宋体"/>
                <w:color w:val="000000" w:themeColor="text1"/>
                <w:kern w:val="0"/>
                <w:sz w:val="22"/>
                <w:szCs w:val="22"/>
              </w:rPr>
              <w:t>4.</w:t>
            </w:r>
            <w:r>
              <w:rPr>
                <w:rFonts w:hint="eastAsia" w:ascii="仿宋_GB2312" w:hAnsi="宋体" w:eastAsia="仿宋_GB2312" w:cs="宋体"/>
                <w:color w:val="000000" w:themeColor="text1"/>
                <w:kern w:val="0"/>
                <w:sz w:val="22"/>
                <w:szCs w:val="22"/>
              </w:rPr>
              <w:t>按照法律法规和合同约定，定期巡查项目楼道、门厅等</w:t>
            </w:r>
            <w:r>
              <w:rPr>
                <w:rFonts w:hint="eastAsia" w:ascii="仿宋_GB2312" w:hAnsi="仿宋_GB2312" w:eastAsia="仿宋_GB2312"/>
                <w:color w:val="000000" w:themeColor="text1"/>
                <w:sz w:val="22"/>
                <w:szCs w:val="22"/>
              </w:rPr>
              <w:t>公共部位，发现占用堵塞消防通道的行为及时劝阻并向有关部门报告。</w:t>
            </w:r>
          </w:p>
        </w:tc>
        <w:tc>
          <w:tcPr>
            <w:tcW w:w="2293"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840" w:hRule="atLeast"/>
          <w:jc w:val="center"/>
        </w:trPr>
        <w:tc>
          <w:tcPr>
            <w:tcW w:w="838" w:type="dxa"/>
            <w:vMerge w:val="continue"/>
            <w:tcBorders>
              <w:top w:val="nil"/>
              <w:left w:val="single" w:color="auto" w:sz="4" w:space="0"/>
              <w:bottom w:val="nil"/>
              <w:right w:val="single" w:color="auto" w:sz="4" w:space="0"/>
            </w:tcBorders>
            <w:noWrap/>
            <w:vAlign w:val="center"/>
          </w:tcPr>
          <w:p>
            <w:pPr>
              <w:widowControl/>
              <w:jc w:val="left"/>
              <w:rPr>
                <w:rFonts w:ascii="仿宋_GB2312" w:hAnsi="宋体" w:eastAsia="仿宋_GB2312" w:cs="宋体"/>
                <w:color w:val="000000" w:themeColor="text1"/>
                <w:kern w:val="0"/>
                <w:sz w:val="22"/>
                <w:szCs w:val="22"/>
              </w:rPr>
            </w:pPr>
          </w:p>
        </w:tc>
        <w:tc>
          <w:tcPr>
            <w:tcW w:w="1600" w:type="dxa"/>
            <w:vMerge w:val="continue"/>
            <w:tcBorders>
              <w:top w:val="nil"/>
              <w:left w:val="nil"/>
              <w:bottom w:val="nil"/>
              <w:right w:val="nil"/>
            </w:tcBorders>
            <w:noWrap/>
            <w:vAlign w:val="center"/>
          </w:tcPr>
          <w:p>
            <w:pPr>
              <w:widowControl/>
              <w:jc w:val="left"/>
              <w:rPr>
                <w:rFonts w:ascii="仿宋_GB2312" w:hAnsi="宋体" w:eastAsia="仿宋_GB2312" w:cs="宋体"/>
                <w:color w:val="000000" w:themeColor="text1"/>
                <w:kern w:val="0"/>
                <w:sz w:val="22"/>
                <w:szCs w:val="22"/>
              </w:rPr>
            </w:pPr>
          </w:p>
        </w:tc>
        <w:tc>
          <w:tcPr>
            <w:tcW w:w="4595"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ascii="仿宋_GB2312" w:hAnsi="宋体" w:eastAsia="仿宋_GB2312" w:cs="宋体"/>
                <w:color w:val="000000" w:themeColor="text1"/>
                <w:kern w:val="0"/>
                <w:sz w:val="22"/>
                <w:szCs w:val="22"/>
              </w:rPr>
              <w:t>5</w:t>
            </w:r>
            <w:r>
              <w:rPr>
                <w:rFonts w:hint="eastAsia" w:ascii="仿宋_GB2312" w:hAnsi="宋体" w:eastAsia="仿宋_GB2312" w:cs="宋体"/>
                <w:color w:val="000000" w:themeColor="text1"/>
                <w:kern w:val="0"/>
                <w:sz w:val="22"/>
                <w:szCs w:val="22"/>
              </w:rPr>
              <w:t>.</w:t>
            </w:r>
            <w:r>
              <w:rPr>
                <w:rFonts w:hint="eastAsia" w:ascii="仿宋_GB2312" w:hAnsi="仿宋_GB2312" w:eastAsia="仿宋_GB2312"/>
                <w:color w:val="000000" w:themeColor="text1"/>
                <w:sz w:val="22"/>
                <w:szCs w:val="22"/>
              </w:rPr>
              <w:t>按照合同约定维护保养绿地、道路、监控、电梯等公共设施设备，维护保养记录记录完备</w:t>
            </w:r>
            <w:r>
              <w:rPr>
                <w:rFonts w:hint="eastAsia" w:ascii="仿宋_GB2312" w:hAnsi="宋体" w:eastAsia="仿宋_GB2312" w:cs="宋体"/>
                <w:color w:val="000000" w:themeColor="text1"/>
                <w:kern w:val="0"/>
                <w:sz w:val="22"/>
                <w:szCs w:val="22"/>
              </w:rPr>
              <w:t>。</w:t>
            </w:r>
          </w:p>
        </w:tc>
        <w:tc>
          <w:tcPr>
            <w:tcW w:w="2293"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455" w:hRule="atLeast"/>
          <w:jc w:val="center"/>
        </w:trPr>
        <w:tc>
          <w:tcPr>
            <w:tcW w:w="838" w:type="dxa"/>
            <w:vMerge w:val="restart"/>
            <w:tcBorders>
              <w:top w:val="single" w:color="auto" w:sz="4" w:space="0"/>
              <w:left w:val="single" w:color="auto" w:sz="4" w:space="0"/>
              <w:right w:val="single" w:color="auto" w:sz="4" w:space="0"/>
            </w:tcBorders>
            <w:noWrap/>
            <w:vAlign w:val="center"/>
          </w:tcPr>
          <w:p>
            <w:pPr>
              <w:widowControl/>
              <w:jc w:val="left"/>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2</w:t>
            </w:r>
          </w:p>
        </w:tc>
        <w:tc>
          <w:tcPr>
            <w:tcW w:w="1600" w:type="dxa"/>
            <w:vMerge w:val="restart"/>
            <w:tcBorders>
              <w:top w:val="single" w:color="auto" w:sz="4" w:space="0"/>
              <w:left w:val="nil"/>
              <w:right w:val="nil"/>
            </w:tcBorders>
            <w:noWrap/>
            <w:vAlign w:val="center"/>
          </w:tcPr>
          <w:p>
            <w:pPr>
              <w:widowControl/>
              <w:jc w:val="left"/>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现场管理情况</w:t>
            </w:r>
          </w:p>
        </w:tc>
        <w:tc>
          <w:tcPr>
            <w:tcW w:w="4595"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6</w:t>
            </w:r>
            <w:r>
              <w:rPr>
                <w:rFonts w:ascii="仿宋_GB2312" w:hAnsi="宋体" w:eastAsia="仿宋_GB2312" w:cs="宋体"/>
                <w:color w:val="000000" w:themeColor="text1"/>
                <w:kern w:val="0"/>
                <w:sz w:val="22"/>
                <w:szCs w:val="22"/>
              </w:rPr>
              <w:t>.</w:t>
            </w:r>
            <w:r>
              <w:rPr>
                <w:rFonts w:hint="eastAsia" w:ascii="仿宋_GB2312" w:hAnsi="宋体" w:eastAsia="仿宋_GB2312" w:cs="宋体"/>
                <w:color w:val="000000" w:themeColor="text1"/>
                <w:kern w:val="0"/>
                <w:sz w:val="22"/>
                <w:szCs w:val="22"/>
              </w:rPr>
              <w:t>门岗人员到位、门禁系统正常运行，人员、车辆出入有序，确保消防、救援等应急车辆出入顺畅。</w:t>
            </w:r>
          </w:p>
        </w:tc>
        <w:tc>
          <w:tcPr>
            <w:tcW w:w="2293"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793" w:hRule="atLeast"/>
          <w:jc w:val="center"/>
        </w:trPr>
        <w:tc>
          <w:tcPr>
            <w:tcW w:w="838" w:type="dxa"/>
            <w:vMerge w:val="continue"/>
            <w:tcBorders>
              <w:left w:val="single" w:color="auto" w:sz="4" w:space="0"/>
              <w:right w:val="single" w:color="auto" w:sz="4" w:space="0"/>
            </w:tcBorders>
            <w:noWrap/>
            <w:vAlign w:val="center"/>
          </w:tcPr>
          <w:p>
            <w:pPr>
              <w:widowControl/>
              <w:jc w:val="left"/>
              <w:rPr>
                <w:rFonts w:ascii="仿宋_GB2312" w:hAnsi="宋体" w:eastAsia="仿宋_GB2312" w:cs="宋体"/>
                <w:color w:val="000000" w:themeColor="text1"/>
                <w:kern w:val="0"/>
                <w:sz w:val="22"/>
                <w:szCs w:val="22"/>
              </w:rPr>
            </w:pPr>
          </w:p>
        </w:tc>
        <w:tc>
          <w:tcPr>
            <w:tcW w:w="1600" w:type="dxa"/>
            <w:vMerge w:val="continue"/>
            <w:tcBorders>
              <w:left w:val="nil"/>
              <w:right w:val="nil"/>
            </w:tcBorders>
            <w:noWrap/>
            <w:vAlign w:val="center"/>
          </w:tcPr>
          <w:p>
            <w:pPr>
              <w:widowControl/>
              <w:jc w:val="left"/>
              <w:rPr>
                <w:rFonts w:ascii="仿宋_GB2312" w:hAnsi="宋体" w:eastAsia="仿宋_GB2312" w:cs="宋体"/>
                <w:color w:val="000000" w:themeColor="text1"/>
                <w:kern w:val="0"/>
                <w:sz w:val="22"/>
                <w:szCs w:val="22"/>
              </w:rPr>
            </w:pPr>
          </w:p>
        </w:tc>
        <w:tc>
          <w:tcPr>
            <w:tcW w:w="4595"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7</w:t>
            </w:r>
            <w:r>
              <w:rPr>
                <w:rFonts w:ascii="仿宋_GB2312" w:hAnsi="宋体" w:eastAsia="仿宋_GB2312" w:cs="宋体"/>
                <w:color w:val="000000" w:themeColor="text1"/>
                <w:kern w:val="0"/>
                <w:sz w:val="22"/>
                <w:szCs w:val="22"/>
              </w:rPr>
              <w:t>.</w:t>
            </w:r>
            <w:r>
              <w:rPr>
                <w:rFonts w:hint="eastAsia" w:ascii="仿宋_GB2312" w:hAnsi="宋体" w:eastAsia="仿宋_GB2312" w:cs="宋体"/>
                <w:color w:val="000000" w:themeColor="text1"/>
                <w:kern w:val="0"/>
                <w:sz w:val="22"/>
                <w:szCs w:val="22"/>
              </w:rPr>
              <w:t>门厅、大堂、楼道、道路等公共部位管理规范有序、干净整洁，无烟头、杂物堆放、易燃物堆放等安全隐患。</w:t>
            </w:r>
          </w:p>
        </w:tc>
        <w:tc>
          <w:tcPr>
            <w:tcW w:w="2293"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531" w:hRule="atLeast"/>
          <w:jc w:val="center"/>
        </w:trPr>
        <w:tc>
          <w:tcPr>
            <w:tcW w:w="838" w:type="dxa"/>
            <w:vMerge w:val="continue"/>
            <w:tcBorders>
              <w:left w:val="single" w:color="auto" w:sz="4" w:space="0"/>
              <w:right w:val="single" w:color="auto" w:sz="4" w:space="0"/>
            </w:tcBorders>
            <w:noWrap/>
            <w:vAlign w:val="center"/>
          </w:tcPr>
          <w:p>
            <w:pPr>
              <w:widowControl/>
              <w:jc w:val="left"/>
              <w:rPr>
                <w:rFonts w:ascii="仿宋_GB2312" w:hAnsi="宋体" w:eastAsia="仿宋_GB2312" w:cs="宋体"/>
                <w:color w:val="000000" w:themeColor="text1"/>
                <w:kern w:val="0"/>
                <w:sz w:val="22"/>
                <w:szCs w:val="22"/>
              </w:rPr>
            </w:pPr>
          </w:p>
        </w:tc>
        <w:tc>
          <w:tcPr>
            <w:tcW w:w="1600" w:type="dxa"/>
            <w:vMerge w:val="continue"/>
            <w:tcBorders>
              <w:left w:val="nil"/>
              <w:right w:val="nil"/>
            </w:tcBorders>
            <w:noWrap/>
            <w:vAlign w:val="center"/>
          </w:tcPr>
          <w:p>
            <w:pPr>
              <w:widowControl/>
              <w:jc w:val="left"/>
              <w:rPr>
                <w:rFonts w:ascii="仿宋_GB2312" w:hAnsi="宋体" w:eastAsia="仿宋_GB2312" w:cs="宋体"/>
                <w:color w:val="000000" w:themeColor="text1"/>
                <w:kern w:val="0"/>
                <w:sz w:val="22"/>
                <w:szCs w:val="22"/>
              </w:rPr>
            </w:pPr>
          </w:p>
        </w:tc>
        <w:tc>
          <w:tcPr>
            <w:tcW w:w="4595"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8</w:t>
            </w:r>
            <w:r>
              <w:rPr>
                <w:rFonts w:ascii="仿宋_GB2312" w:hAnsi="宋体" w:eastAsia="仿宋_GB2312" w:cs="宋体"/>
                <w:color w:val="000000" w:themeColor="text1"/>
                <w:kern w:val="0"/>
                <w:sz w:val="22"/>
                <w:szCs w:val="22"/>
              </w:rPr>
              <w:t>.</w:t>
            </w:r>
            <w:r>
              <w:rPr>
                <w:rFonts w:hint="eastAsia" w:ascii="仿宋_GB2312" w:hAnsi="宋体" w:eastAsia="仿宋_GB2312" w:cs="宋体"/>
                <w:color w:val="000000" w:themeColor="text1"/>
                <w:kern w:val="0"/>
                <w:sz w:val="22"/>
                <w:szCs w:val="22"/>
              </w:rPr>
              <w:t>公共绿地、道路、监控、广场、管道井等按照合同约定管理的公共设施设备正常运行。</w:t>
            </w:r>
          </w:p>
        </w:tc>
        <w:tc>
          <w:tcPr>
            <w:tcW w:w="2293"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531" w:hRule="atLeast"/>
          <w:jc w:val="center"/>
        </w:trPr>
        <w:tc>
          <w:tcPr>
            <w:tcW w:w="838" w:type="dxa"/>
            <w:vMerge w:val="continue"/>
            <w:tcBorders>
              <w:left w:val="single" w:color="auto" w:sz="4" w:space="0"/>
              <w:bottom w:val="single" w:color="auto" w:sz="4" w:space="0"/>
              <w:right w:val="single" w:color="auto" w:sz="4" w:space="0"/>
            </w:tcBorders>
            <w:noWrap/>
            <w:vAlign w:val="center"/>
          </w:tcPr>
          <w:p>
            <w:pPr>
              <w:widowControl/>
              <w:jc w:val="left"/>
              <w:rPr>
                <w:rFonts w:ascii="仿宋_GB2312" w:hAnsi="宋体" w:eastAsia="仿宋_GB2312" w:cs="宋体"/>
                <w:color w:val="000000" w:themeColor="text1"/>
                <w:kern w:val="0"/>
                <w:sz w:val="22"/>
                <w:szCs w:val="22"/>
              </w:rPr>
            </w:pPr>
          </w:p>
        </w:tc>
        <w:tc>
          <w:tcPr>
            <w:tcW w:w="1600" w:type="dxa"/>
            <w:vMerge w:val="continue"/>
            <w:tcBorders>
              <w:left w:val="nil"/>
              <w:bottom w:val="single" w:color="auto" w:sz="4" w:space="0"/>
              <w:right w:val="nil"/>
            </w:tcBorders>
            <w:noWrap/>
            <w:vAlign w:val="center"/>
          </w:tcPr>
          <w:p>
            <w:pPr>
              <w:widowControl/>
              <w:jc w:val="left"/>
              <w:rPr>
                <w:rFonts w:ascii="仿宋_GB2312" w:hAnsi="宋体" w:eastAsia="仿宋_GB2312" w:cs="宋体"/>
                <w:color w:val="000000" w:themeColor="text1"/>
                <w:kern w:val="0"/>
                <w:sz w:val="22"/>
                <w:szCs w:val="22"/>
              </w:rPr>
            </w:pPr>
          </w:p>
        </w:tc>
        <w:tc>
          <w:tcPr>
            <w:tcW w:w="4595"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9.对已登记的装修活动告知装修注意事项，并开展定期巡查。</w:t>
            </w:r>
          </w:p>
        </w:tc>
        <w:tc>
          <w:tcPr>
            <w:tcW w:w="2293"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793" w:hRule="atLeast"/>
          <w:jc w:val="center"/>
        </w:trPr>
        <w:tc>
          <w:tcPr>
            <w:tcW w:w="838" w:type="dxa"/>
            <w:vMerge w:val="restart"/>
            <w:tcBorders>
              <w:top w:val="single" w:color="auto" w:sz="4" w:space="0"/>
              <w:left w:val="single" w:color="auto" w:sz="4" w:space="0"/>
              <w:right w:val="single" w:color="auto" w:sz="4" w:space="0"/>
            </w:tcBorders>
            <w:noWrap/>
            <w:vAlign w:val="center"/>
          </w:tcPr>
          <w:p>
            <w:pPr>
              <w:widowControl/>
              <w:jc w:val="left"/>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3</w:t>
            </w:r>
          </w:p>
        </w:tc>
        <w:tc>
          <w:tcPr>
            <w:tcW w:w="1600" w:type="dxa"/>
            <w:vMerge w:val="restart"/>
            <w:tcBorders>
              <w:top w:val="single" w:color="auto" w:sz="4" w:space="0"/>
              <w:left w:val="nil"/>
              <w:right w:val="nil"/>
            </w:tcBorders>
            <w:noWrap/>
            <w:vAlign w:val="center"/>
          </w:tcPr>
          <w:p>
            <w:pPr>
              <w:widowControl/>
              <w:jc w:val="left"/>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安全隐患排查整治情况</w:t>
            </w:r>
          </w:p>
        </w:tc>
        <w:tc>
          <w:tcPr>
            <w:tcW w:w="4595"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10</w:t>
            </w:r>
            <w:r>
              <w:rPr>
                <w:rFonts w:ascii="仿宋_GB2312" w:hAnsi="宋体" w:eastAsia="仿宋_GB2312" w:cs="宋体"/>
                <w:color w:val="000000" w:themeColor="text1"/>
                <w:kern w:val="0"/>
                <w:sz w:val="22"/>
                <w:szCs w:val="22"/>
              </w:rPr>
              <w:t>.</w:t>
            </w:r>
            <w:r>
              <w:rPr>
                <w:rFonts w:hint="eastAsia" w:ascii="仿宋_GB2312" w:hAnsi="宋体" w:eastAsia="仿宋_GB2312" w:cs="宋体"/>
                <w:color w:val="000000" w:themeColor="text1"/>
                <w:kern w:val="0"/>
                <w:sz w:val="22"/>
                <w:szCs w:val="22"/>
              </w:rPr>
              <w:t>开展安全隐患排查，建立安全隐患排查台账。</w:t>
            </w:r>
          </w:p>
        </w:tc>
        <w:tc>
          <w:tcPr>
            <w:tcW w:w="2293"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r>
        <w:tblPrEx>
          <w:tblCellMar>
            <w:top w:w="0" w:type="dxa"/>
            <w:left w:w="108" w:type="dxa"/>
            <w:bottom w:w="0" w:type="dxa"/>
            <w:right w:w="108" w:type="dxa"/>
          </w:tblCellMar>
        </w:tblPrEx>
        <w:trPr>
          <w:trHeight w:val="793" w:hRule="atLeast"/>
          <w:jc w:val="center"/>
        </w:trPr>
        <w:tc>
          <w:tcPr>
            <w:tcW w:w="838" w:type="dxa"/>
            <w:vMerge w:val="continue"/>
            <w:tcBorders>
              <w:left w:val="single" w:color="auto" w:sz="4" w:space="0"/>
              <w:bottom w:val="nil"/>
              <w:right w:val="single" w:color="auto" w:sz="4" w:space="0"/>
            </w:tcBorders>
            <w:noWrap/>
            <w:vAlign w:val="center"/>
          </w:tcPr>
          <w:p>
            <w:pPr>
              <w:widowControl/>
              <w:jc w:val="left"/>
              <w:rPr>
                <w:rFonts w:ascii="仿宋_GB2312" w:hAnsi="宋体" w:eastAsia="仿宋_GB2312" w:cs="宋体"/>
                <w:color w:val="000000" w:themeColor="text1"/>
                <w:kern w:val="0"/>
                <w:sz w:val="22"/>
                <w:szCs w:val="22"/>
              </w:rPr>
            </w:pPr>
          </w:p>
        </w:tc>
        <w:tc>
          <w:tcPr>
            <w:tcW w:w="1600" w:type="dxa"/>
            <w:vMerge w:val="continue"/>
            <w:tcBorders>
              <w:left w:val="nil"/>
              <w:bottom w:val="single" w:color="auto" w:sz="4" w:space="0"/>
              <w:right w:val="nil"/>
            </w:tcBorders>
            <w:noWrap/>
            <w:vAlign w:val="center"/>
          </w:tcPr>
          <w:p>
            <w:pPr>
              <w:widowControl/>
              <w:jc w:val="left"/>
              <w:rPr>
                <w:rFonts w:ascii="仿宋_GB2312" w:hAnsi="宋体" w:eastAsia="仿宋_GB2312" w:cs="宋体"/>
                <w:color w:val="000000" w:themeColor="text1"/>
                <w:kern w:val="0"/>
                <w:sz w:val="22"/>
                <w:szCs w:val="22"/>
              </w:rPr>
            </w:pPr>
          </w:p>
        </w:tc>
        <w:tc>
          <w:tcPr>
            <w:tcW w:w="4595"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r>
              <w:rPr>
                <w:rFonts w:hint="eastAsia" w:ascii="仿宋_GB2312" w:hAnsi="宋体" w:eastAsia="仿宋_GB2312" w:cs="宋体"/>
                <w:color w:val="000000" w:themeColor="text1"/>
                <w:kern w:val="0"/>
                <w:sz w:val="22"/>
                <w:szCs w:val="22"/>
              </w:rPr>
              <w:t>11</w:t>
            </w:r>
            <w:r>
              <w:rPr>
                <w:rFonts w:ascii="仿宋_GB2312" w:hAnsi="宋体" w:eastAsia="仿宋_GB2312" w:cs="宋体"/>
                <w:color w:val="000000" w:themeColor="text1"/>
                <w:kern w:val="0"/>
                <w:sz w:val="22"/>
                <w:szCs w:val="22"/>
              </w:rPr>
              <w:t>.</w:t>
            </w:r>
            <w:r>
              <w:rPr>
                <w:rFonts w:hint="eastAsia" w:ascii="仿宋_GB2312" w:hAnsi="宋体" w:eastAsia="仿宋_GB2312" w:cs="宋体"/>
                <w:color w:val="000000" w:themeColor="text1"/>
                <w:kern w:val="0"/>
                <w:sz w:val="22"/>
                <w:szCs w:val="22"/>
              </w:rPr>
              <w:t>发现安全隐患及时处置，属于物业费支出范围的，及时整改，不属于物业费支出范围的，报告业主委员会或社区居委会，暂时无法整改到位的设置安全警示标识或安全提醒。</w:t>
            </w:r>
          </w:p>
        </w:tc>
        <w:tc>
          <w:tcPr>
            <w:tcW w:w="2293"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c>
          <w:tcPr>
            <w:tcW w:w="3137" w:type="dxa"/>
            <w:tcBorders>
              <w:top w:val="nil"/>
              <w:left w:val="single" w:color="auto" w:sz="4" w:space="0"/>
              <w:bottom w:val="single" w:color="auto" w:sz="4" w:space="0"/>
              <w:right w:val="single" w:color="auto" w:sz="4" w:space="0"/>
            </w:tcBorders>
            <w:noWrap/>
            <w:vAlign w:val="center"/>
          </w:tcPr>
          <w:p>
            <w:pPr>
              <w:widowControl/>
              <w:rPr>
                <w:rFonts w:ascii="仿宋_GB2312" w:hAnsi="宋体" w:eastAsia="仿宋_GB2312" w:cs="宋体"/>
                <w:color w:val="000000" w:themeColor="text1"/>
                <w:kern w:val="0"/>
                <w:sz w:val="22"/>
                <w:szCs w:val="22"/>
              </w:rPr>
            </w:pPr>
          </w:p>
        </w:tc>
      </w:tr>
    </w:tbl>
    <w:p>
      <w:pPr>
        <w:jc w:val="left"/>
        <w:rPr>
          <w:color w:val="000000" w:themeColor="text1"/>
        </w:rPr>
      </w:pPr>
    </w:p>
    <w:p>
      <w:pPr>
        <w:rPr>
          <w:color w:val="000000" w:themeColor="text1"/>
        </w:rPr>
        <w:sectPr>
          <w:pgSz w:w="16838" w:h="11906" w:orient="landscape"/>
          <w:pgMar w:top="1800" w:right="1440" w:bottom="1800" w:left="1440" w:header="851" w:footer="992" w:gutter="0"/>
          <w:cols w:space="720" w:num="1"/>
          <w:docGrid w:type="lines" w:linePitch="312" w:charSpace="0"/>
        </w:sectPr>
      </w:pPr>
    </w:p>
    <w:p>
      <w:pPr>
        <w:spacing w:line="630" w:lineRule="exact"/>
        <w:jc w:val="center"/>
        <w:outlineLvl w:val="1"/>
        <w:rPr>
          <w:rFonts w:ascii="黑体" w:hAnsi="黑体" w:eastAsia="黑体" w:cs="黑体"/>
          <w:color w:val="000000" w:themeColor="text1"/>
          <w:sz w:val="32"/>
          <w:szCs w:val="32"/>
        </w:rPr>
      </w:pPr>
      <w:bookmarkStart w:id="29" w:name="_Toc18236"/>
      <w:r>
        <w:rPr>
          <w:rFonts w:hint="eastAsia" w:ascii="黑体" w:hAnsi="黑体" w:eastAsia="黑体" w:cs="黑体"/>
          <w:color w:val="000000" w:themeColor="text1"/>
          <w:sz w:val="32"/>
          <w:szCs w:val="32"/>
        </w:rPr>
        <w:t>（六）应急预案和处置方面</w:t>
      </w:r>
      <w:bookmarkEnd w:id="29"/>
    </w:p>
    <w:p>
      <w:pPr>
        <w:spacing w:line="578" w:lineRule="exact"/>
        <w:ind w:firstLine="640" w:firstLineChars="200"/>
        <w:rPr>
          <w:rFonts w:ascii="黑体" w:hAnsi="黑体" w:eastAsia="黑体" w:cs="黑体"/>
          <w:color w:val="000000" w:themeColor="text1"/>
          <w:sz w:val="32"/>
          <w:szCs w:val="32"/>
        </w:rPr>
      </w:pPr>
    </w:p>
    <w:p>
      <w:pPr>
        <w:spacing w:line="578"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一、重点帮扶内容</w:t>
      </w:r>
    </w:p>
    <w:p>
      <w:pPr>
        <w:pStyle w:val="2"/>
        <w:spacing w:line="578" w:lineRule="exact"/>
        <w:ind w:firstLine="640" w:firstLineChars="200"/>
        <w:rPr>
          <w:rFonts w:ascii="仿宋_GB2312" w:hAnsi="仿宋_GB2312" w:eastAsia="仿宋_GB2312" w:cs="仿宋_GB2312"/>
          <w:color w:val="000000" w:themeColor="text1"/>
          <w:sz w:val="32"/>
          <w:szCs w:val="32"/>
        </w:rPr>
        <w:sectPr>
          <w:pgSz w:w="11906" w:h="16838"/>
          <w:pgMar w:top="2098" w:right="1474" w:bottom="1984" w:left="1474" w:header="851" w:footer="992" w:gutter="0"/>
          <w:cols w:space="720" w:num="1"/>
          <w:docGrid w:type="lines" w:linePitch="312" w:charSpace="0"/>
        </w:sectPr>
      </w:pPr>
      <w:r>
        <w:rPr>
          <w:rFonts w:hint="eastAsia" w:ascii="仿宋_GB2312" w:hAnsi="仿宋_GB2312" w:eastAsia="仿宋_GB2312" w:cs="仿宋_GB2312"/>
          <w:color w:val="000000" w:themeColor="text1"/>
          <w:sz w:val="32"/>
          <w:szCs w:val="32"/>
        </w:rPr>
        <w:t>1.设区市住建部门突发事件应急预案制定、应急演练及评估分析情况，抢修车辆、设备等各类应急救援物资储备情况；2.房屋市政工程施工项目的应急预案编制、应急物资储备和应急演练情况；3.应对低温雨雪冰冻等极端天气条件的应急准备情况；4.事故信息报告制度落实情况。</w:t>
      </w:r>
    </w:p>
    <w:p>
      <w:pPr>
        <w:pStyle w:val="2"/>
        <w:spacing w:line="578" w:lineRule="exact"/>
        <w:jc w:val="center"/>
        <w:rPr>
          <w:rFonts w:ascii="方正小标宋简体" w:hAnsi="方正小标宋简体" w:eastAsia="方正小标宋简体" w:cs="方正小标宋简体"/>
          <w:b/>
          <w:color w:val="000000" w:themeColor="text1"/>
          <w:sz w:val="44"/>
          <w:szCs w:val="44"/>
        </w:rPr>
      </w:pPr>
    </w:p>
    <w:p>
      <w:pPr>
        <w:pStyle w:val="2"/>
        <w:spacing w:line="578" w:lineRule="exact"/>
        <w:jc w:val="center"/>
        <w:outlineLvl w:val="0"/>
        <w:rPr>
          <w:rFonts w:ascii="方正小标宋简体" w:hAnsi="方正小标宋简体" w:eastAsia="方正小标宋简体" w:cs="方正小标宋简体"/>
          <w:bCs/>
          <w:color w:val="000000" w:themeColor="text1"/>
          <w:sz w:val="44"/>
          <w:szCs w:val="44"/>
        </w:rPr>
      </w:pPr>
      <w:bookmarkStart w:id="30" w:name="_Toc21502"/>
      <w:r>
        <w:rPr>
          <w:rFonts w:hint="eastAsia" w:ascii="方正小标宋简体" w:hAnsi="方正小标宋简体" w:eastAsia="方正小标宋简体" w:cs="方正小标宋简体"/>
          <w:bCs/>
          <w:color w:val="000000" w:themeColor="text1"/>
          <w:sz w:val="44"/>
          <w:szCs w:val="44"/>
        </w:rPr>
        <w:t>督导帮扶专家和各市联络员名单</w:t>
      </w:r>
      <w:bookmarkEnd w:id="30"/>
    </w:p>
    <w:p>
      <w:pPr>
        <w:pStyle w:val="2"/>
        <w:spacing w:line="578" w:lineRule="exact"/>
        <w:jc w:val="center"/>
        <w:rPr>
          <w:rFonts w:ascii="方正小标宋简体" w:hAnsi="方正小标宋简体" w:eastAsia="方正小标宋简体" w:cs="方正小标宋简体"/>
          <w:b/>
          <w:color w:val="000000" w:themeColor="text1"/>
          <w:sz w:val="44"/>
          <w:szCs w:val="44"/>
        </w:rPr>
      </w:pPr>
    </w:p>
    <w:tbl>
      <w:tblPr>
        <w:tblStyle w:val="15"/>
        <w:tblW w:w="9073" w:type="dxa"/>
        <w:tblInd w:w="100" w:type="dxa"/>
        <w:tblLayout w:type="autofit"/>
        <w:tblCellMar>
          <w:top w:w="0" w:type="dxa"/>
          <w:left w:w="108" w:type="dxa"/>
          <w:bottom w:w="0" w:type="dxa"/>
          <w:right w:w="108" w:type="dxa"/>
        </w:tblCellMar>
      </w:tblPr>
      <w:tblGrid>
        <w:gridCol w:w="1995"/>
        <w:gridCol w:w="1995"/>
        <w:gridCol w:w="1995"/>
        <w:gridCol w:w="1127"/>
        <w:gridCol w:w="1961"/>
      </w:tblGrid>
      <w:tr>
        <w:tblPrEx>
          <w:tblCellMar>
            <w:top w:w="0" w:type="dxa"/>
            <w:left w:w="108" w:type="dxa"/>
            <w:bottom w:w="0" w:type="dxa"/>
            <w:right w:w="108" w:type="dxa"/>
          </w:tblCellMar>
        </w:tblPrEx>
        <w:trPr>
          <w:trHeight w:val="399" w:hRule="atLeast"/>
        </w:trPr>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color w:val="000000" w:themeColor="text1"/>
                <w:kern w:val="0"/>
                <w:sz w:val="24"/>
              </w:rPr>
            </w:pPr>
            <w:r>
              <w:rPr>
                <w:rFonts w:hint="eastAsia" w:ascii="黑体" w:hAnsi="宋体" w:eastAsia="黑体" w:cs="黑体"/>
                <w:color w:val="000000" w:themeColor="text1"/>
                <w:kern w:val="0"/>
                <w:sz w:val="24"/>
              </w:rPr>
              <w:t>序号</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color w:val="000000" w:themeColor="text1"/>
                <w:sz w:val="24"/>
              </w:rPr>
            </w:pPr>
            <w:r>
              <w:rPr>
                <w:rFonts w:hint="eastAsia" w:ascii="黑体" w:hAnsi="宋体" w:eastAsia="黑体" w:cs="黑体"/>
                <w:color w:val="000000" w:themeColor="text1"/>
                <w:kern w:val="0"/>
                <w:sz w:val="24"/>
              </w:rPr>
              <w:t>地市</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color w:val="000000" w:themeColor="text1"/>
                <w:sz w:val="24"/>
              </w:rPr>
            </w:pPr>
            <w:r>
              <w:rPr>
                <w:rFonts w:hint="eastAsia" w:ascii="黑体" w:hAnsi="宋体" w:eastAsia="黑体" w:cs="黑体"/>
                <w:color w:val="000000" w:themeColor="text1"/>
                <w:kern w:val="0"/>
                <w:sz w:val="24"/>
              </w:rPr>
              <w:t>专家领域</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color w:val="000000" w:themeColor="text1"/>
                <w:sz w:val="24"/>
              </w:rPr>
            </w:pPr>
            <w:r>
              <w:rPr>
                <w:rFonts w:hint="eastAsia" w:ascii="黑体" w:hAnsi="宋体" w:eastAsia="黑体" w:cs="黑体"/>
                <w:color w:val="000000" w:themeColor="text1"/>
                <w:kern w:val="0"/>
                <w:sz w:val="24"/>
              </w:rPr>
              <w:t>姓名</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黑体" w:hAnsi="宋体" w:eastAsia="黑体" w:cs="黑体"/>
                <w:color w:val="000000" w:themeColor="text1"/>
                <w:sz w:val="24"/>
              </w:rPr>
            </w:pPr>
            <w:r>
              <w:rPr>
                <w:rFonts w:hint="eastAsia" w:ascii="黑体" w:hAnsi="宋体" w:eastAsia="黑体" w:cs="黑体"/>
                <w:color w:val="000000" w:themeColor="text1"/>
                <w:kern w:val="0"/>
                <w:sz w:val="24"/>
              </w:rPr>
              <w:t>手机号</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1</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济南市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（联络员：张朝峰，电话：18766110967）</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刘启彪</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15153139781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焦滕滕</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18560762248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杨亚楠</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15216400035</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李学金</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13361008270</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王泽刚</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15253199091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陈丽君</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13573186126</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2</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青岛市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（联络员：孙宪阁，电话：18663901085）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徐永</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18866398977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程瑞锋</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13969620966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李云峰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13061429101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马建平</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18660212961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罗杰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15315517717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吕楠</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18605320609</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3</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淄博市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（联络员：王锦华，电话：15949834688）</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李静</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13455308491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贾雨来</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13285331318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谢如奎</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13053317103</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徐蕾</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18560301102</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李冬仁</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13964435990</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赵振飞</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17705339007</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4</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枣庄市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（联络员：张飞， 电话：13563261686）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王辉</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13173321121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张亚峰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13561109609</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王伟</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18863208816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17863701688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刘宇</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18206322385</w:t>
            </w:r>
          </w:p>
        </w:tc>
      </w:tr>
      <w:tr>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孙玉泉</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13455066339</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5</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东营市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（联络员：杨海峰，电话：18766629059）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王爱军</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13864709088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石峰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13176477877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吴百玉</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13793997827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高玉峰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18562076187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王秀海</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13854653805</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董培新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15154691333</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6</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烟台市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（联络员：林伟功，电话：18953573567）</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李晶</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13053528796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史本全</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13964551811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蔡雅琳</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13371371799</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黄胜发</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13791181092</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周同山</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13583500241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林卫勇</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15098688858</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7</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潍坊市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（联络员：张志强，电话：18953696233）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王立明</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13863612381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王文华</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13864663535</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刘  涛</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15064665335</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王建民</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13606368187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牛超然</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19963967651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孙世儒</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18263625103</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8</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济宁市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（联络员：孙新鲁，电话：13666376169）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王卫</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13863789611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谷永彬</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15910002909</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王同刚</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13963779980</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左洪山</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15805370099</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钟巍</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15263723678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魏志远</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18253793808</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9</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泰安市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（联络员：马恒凯，电话：18660881244）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吕海彦</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13805385728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邓兴刚</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15288920921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米  琳</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13395382555</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马彬</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13561786008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许令国</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18853869058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毕思昶</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19863877377</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10</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威海市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（联络员：王东君，电话：13371189667）</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曲红艳</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18816300599</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陈大伟</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13963116582</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彭兴昌</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13181883230</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卢峰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13906300086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丛伟军</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13869090601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许竹函</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13176306778</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11</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日照市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（联络员：丁兆亮，电话：13563323889）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臧垒垒</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19106335886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杜全钊</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13506339939</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马成云</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13306338552</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杨强</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15863330183</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冷子友</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19163310179</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种博文</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18842620286</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12</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临沂市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（联络员：金飞跃，电话：15953965577）</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杜千千</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17660972923</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高蒙</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13705491012</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刘元鑫</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18953981997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Style w:val="30"/>
                <w:rFonts w:hint="default" w:hAnsi="等线"/>
                <w:color w:val="000000" w:themeColor="text1"/>
              </w:rPr>
              <w:t>张念</w:t>
            </w:r>
            <w:r>
              <w:rPr>
                <w:rFonts w:hint="eastAsia" w:ascii="宋体" w:hAnsi="宋体" w:eastAsia="宋体" w:cs="宋体"/>
                <w:color w:val="000000" w:themeColor="text1"/>
                <w:kern w:val="0"/>
                <w:sz w:val="22"/>
                <w:szCs w:val="22"/>
              </w:rPr>
              <w:t>垚</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15866951108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李海涛</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13573901866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刘畅</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15863988166</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13</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德州市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（联络员：艾晓娜，电话：13475151265）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吴刚</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18766003312</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王传星</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13173338811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李学龙</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13605345477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刘明治</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18653486063</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李其中</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19805349598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路则飞</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15621231116</w:t>
            </w:r>
          </w:p>
        </w:tc>
      </w:tr>
      <w:tr>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14</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聊城市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（联络员：李秀军，电话：13963005715）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赵风斌</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18963511517</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孙理想</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17512536566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潘丽民</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18863535795</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张虎</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18006350276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梅建</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13863568266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李侠</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18663585719</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15</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滨州市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（联络员：綦鑫， 电话：13854368811）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朱永志</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15065228810</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张新亮</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18706430121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曹正国</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15552490068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孙明杰</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18706430076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付可聪</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15762169966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朐国辉</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13854386120</w:t>
            </w:r>
          </w:p>
        </w:tc>
      </w:tr>
      <w:tr>
        <w:tblPrEx>
          <w:tblCellMar>
            <w:top w:w="0" w:type="dxa"/>
            <w:left w:w="108" w:type="dxa"/>
            <w:bottom w:w="0" w:type="dxa"/>
            <w:right w:w="108" w:type="dxa"/>
          </w:tblCellMar>
        </w:tblPrEx>
        <w:trPr>
          <w:trHeight w:val="399" w:hRule="atLeast"/>
        </w:trPr>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kern w:val="0"/>
                <w:sz w:val="22"/>
                <w:szCs w:val="22"/>
              </w:rPr>
            </w:pPr>
            <w:r>
              <w:rPr>
                <w:rFonts w:hint="eastAsia" w:ascii="仿宋_GB2312" w:hAnsi="等线" w:eastAsia="仿宋_GB2312" w:cs="仿宋_GB2312"/>
                <w:color w:val="000000" w:themeColor="text1"/>
                <w:kern w:val="0"/>
                <w:sz w:val="22"/>
                <w:szCs w:val="22"/>
              </w:rPr>
              <w:t>16</w:t>
            </w:r>
          </w:p>
        </w:tc>
        <w:tc>
          <w:tcPr>
            <w:tcW w:w="19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等线" w:eastAsia="仿宋_GB2312" w:cs="仿宋_GB2312"/>
                <w:color w:val="000000" w:themeColor="text1"/>
                <w:kern w:val="0"/>
                <w:sz w:val="22"/>
                <w:szCs w:val="22"/>
                <w:lang w:eastAsia="zh-CN"/>
              </w:rPr>
            </w:pPr>
            <w:r>
              <w:rPr>
                <w:rFonts w:hint="eastAsia" w:ascii="仿宋_GB2312" w:hAnsi="等线" w:eastAsia="仿宋_GB2312" w:cs="仿宋_GB2312"/>
                <w:color w:val="000000" w:themeColor="text1"/>
                <w:kern w:val="0"/>
                <w:sz w:val="22"/>
                <w:szCs w:val="22"/>
              </w:rPr>
              <w:t>菏泽市</w:t>
            </w:r>
          </w:p>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（联络员：李强， 电话：19861615627）</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城镇燃气</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刘权</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13070669106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房屋市政施工</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李林</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18853008008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房屋结构</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李冬明</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19953027596</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市政运行</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刘伟旗</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15053081988</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城市公园</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万广鑫</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18853080081</w:t>
            </w:r>
          </w:p>
        </w:tc>
      </w:tr>
      <w:tr>
        <w:tblPrEx>
          <w:tblCellMar>
            <w:top w:w="0" w:type="dxa"/>
            <w:left w:w="108" w:type="dxa"/>
            <w:bottom w:w="0" w:type="dxa"/>
            <w:right w:w="108" w:type="dxa"/>
          </w:tblCellMar>
        </w:tblPrEx>
        <w:trPr>
          <w:trHeight w:val="399" w:hRule="atLeast"/>
        </w:trPr>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等线" w:eastAsia="仿宋_GB2312" w:cs="仿宋_GB2312"/>
                <w:color w:val="000000" w:themeColor="text1"/>
                <w:sz w:val="22"/>
                <w:szCs w:val="22"/>
              </w:rPr>
            </w:pP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物业服务</w:t>
            </w: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闫家伟</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等线" w:eastAsia="仿宋_GB2312" w:cs="仿宋_GB2312"/>
                <w:color w:val="000000" w:themeColor="text1"/>
                <w:sz w:val="22"/>
                <w:szCs w:val="22"/>
              </w:rPr>
            </w:pPr>
            <w:r>
              <w:rPr>
                <w:rFonts w:hint="eastAsia" w:ascii="仿宋_GB2312" w:hAnsi="等线" w:eastAsia="仿宋_GB2312" w:cs="仿宋_GB2312"/>
                <w:color w:val="000000" w:themeColor="text1"/>
                <w:kern w:val="0"/>
                <w:sz w:val="22"/>
                <w:szCs w:val="22"/>
              </w:rPr>
              <w:t>17705300637</w:t>
            </w:r>
          </w:p>
        </w:tc>
      </w:tr>
    </w:tbl>
    <w:p>
      <w:pPr>
        <w:pStyle w:val="2"/>
        <w:spacing w:line="578" w:lineRule="exact"/>
        <w:jc w:val="center"/>
        <w:rPr>
          <w:rFonts w:ascii="方正小标宋简体" w:hAnsi="方正小标宋简体" w:eastAsia="方正小标宋简体" w:cs="方正小标宋简体"/>
          <w:b/>
          <w:color w:val="000000" w:themeColor="text1"/>
          <w:sz w:val="44"/>
          <w:szCs w:val="44"/>
        </w:rPr>
      </w:pPr>
    </w:p>
    <w:sectPr>
      <w:pgSz w:w="11906" w:h="16838"/>
      <w:pgMar w:top="2098" w:right="1474" w:bottom="198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479"/>
        <w:tab w:val="clear" w:pos="4153"/>
      </w:tabs>
    </w:pPr>
    <w:r>
      <w:rPr>
        <w:rFonts w:hint="eastAsia"/>
      </w:rPr>
      <w:tab/>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479"/>
        <w:tab w:val="clear" w:pos="4153"/>
      </w:tabs>
    </w:pPr>
    <w:r>
      <w:rPr>
        <w:rFonts w:hint="eastAsia"/>
      </w:rPr>
      <w:tab/>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479"/>
        <w:tab w:val="clear" w:pos="4153"/>
      </w:tabs>
    </w:pPr>
    <w:r>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10"/>
                  <w:rPr>
                    <w:sz w:val="24"/>
                  </w:rPr>
                </w:pPr>
                <w:r>
                  <w:rPr>
                    <w:rFonts w:hint="eastAsia"/>
                    <w:sz w:val="24"/>
                  </w:rPr>
                  <w:t xml:space="preserve">— </w:t>
                </w: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2</w:t>
                </w:r>
                <w:r>
                  <w:rPr>
                    <w:rFonts w:hint="eastAsia"/>
                    <w:sz w:val="24"/>
                  </w:rPr>
                  <w:fldChar w:fldCharType="end"/>
                </w:r>
                <w:r>
                  <w:rPr>
                    <w:rFonts w:hint="eastAsia"/>
                    <w:sz w:val="24"/>
                  </w:rPr>
                  <w:t xml:space="preserve"> —</w:t>
                </w:r>
              </w:p>
            </w:txbxContent>
          </v:textbox>
        </v:shape>
      </w:pict>
    </w:r>
    <w:r>
      <w:rPr>
        <w:rFonts w:hint="eastAsia"/>
      </w:rPr>
      <w:tab/>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3078" o:spid="_x0000_s307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pPr>
                  <w:pStyle w:val="1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r>
                  <w:rPr>
                    <w:rFonts w:hint="eastAsia"/>
                  </w:rP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line="578" w:lineRule="exact"/>
      <w:ind w:firstLine="360" w:firstLineChars="200"/>
      <w:jc w:val="left"/>
      <w:rPr>
        <w:rFonts w:ascii="Calibri" w:hAnsi="Calibri" w:eastAsia="宋体" w:cs="Times New Roman"/>
        <w:sz w:val="18"/>
      </w:rPr>
    </w:pPr>
    <w:r>
      <w:rPr>
        <w:rFonts w:ascii="Calibri" w:hAnsi="Calibri" w:eastAsia="宋体" w:cs="Times New Roman"/>
        <w:sz w:val="18"/>
      </w:rPr>
      <w:pict>
        <v:shape id="_x0000_s3077" o:spid="_x0000_s3077"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path/>
          <v:fill on="f" focussize="0,0"/>
          <v:stroke on="f" weight="0.5pt" joinstyle="miter"/>
          <v:imagedata o:title=""/>
          <o:lock v:ext="edit"/>
          <v:textbox inset="0mm,0mm,0mm,0mm" style="mso-fit-shape-to-text:t;">
            <w:txbxContent>
              <w:p>
                <w:pPr>
                  <w:snapToGrid w:val="0"/>
                  <w:spacing w:line="578" w:lineRule="exact"/>
                  <w:ind w:firstLine="420" w:firstLineChars="200"/>
                  <w:jc w:val="left"/>
                  <w:rPr>
                    <w:rFonts w:ascii="宋体" w:hAnsi="宋体" w:eastAsia="宋体" w:cs="宋体"/>
                    <w:szCs w:val="28"/>
                  </w:rPr>
                </w:pPr>
                <w:r>
                  <w:rPr>
                    <w:rFonts w:hint="eastAsia" w:ascii="宋体" w:hAnsi="宋体" w:eastAsia="宋体" w:cs="宋体"/>
                    <w:szCs w:val="28"/>
                  </w:rPr>
                  <w:t xml:space="preserve">— </w:t>
                </w:r>
                <w:r>
                  <w:rPr>
                    <w:rFonts w:hint="eastAsia" w:ascii="宋体" w:hAnsi="宋体" w:eastAsia="宋体" w:cs="宋体"/>
                    <w:szCs w:val="28"/>
                  </w:rPr>
                  <w:fldChar w:fldCharType="begin"/>
                </w:r>
                <w:r>
                  <w:rPr>
                    <w:rFonts w:hint="eastAsia" w:ascii="宋体" w:hAnsi="宋体" w:eastAsia="宋体" w:cs="宋体"/>
                    <w:szCs w:val="28"/>
                  </w:rPr>
                  <w:instrText xml:space="preserve"> PAGE  \* MERGEFORMAT </w:instrText>
                </w:r>
                <w:r>
                  <w:rPr>
                    <w:rFonts w:hint="eastAsia" w:ascii="宋体" w:hAnsi="宋体" w:eastAsia="宋体" w:cs="宋体"/>
                    <w:szCs w:val="28"/>
                  </w:rPr>
                  <w:fldChar w:fldCharType="separate"/>
                </w:r>
                <w:r>
                  <w:rPr>
                    <w:rFonts w:ascii="宋体" w:hAnsi="宋体" w:eastAsia="宋体" w:cs="宋体"/>
                    <w:szCs w:val="28"/>
                  </w:rPr>
                  <w:t>27</w:t>
                </w:r>
                <w:r>
                  <w:rPr>
                    <w:rFonts w:hint="eastAsia" w:ascii="宋体" w:hAnsi="宋体" w:eastAsia="宋体" w:cs="宋体"/>
                    <w:szCs w:val="28"/>
                  </w:rPr>
                  <w:fldChar w:fldCharType="end"/>
                </w:r>
                <w:r>
                  <w:rPr>
                    <w:rFonts w:hint="eastAsia" w:ascii="宋体" w:hAnsi="宋体" w:eastAsia="宋体" w:cs="宋体"/>
                    <w:szCs w:val="28"/>
                  </w:rPr>
                  <w:t xml:space="preserve"> —</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ascii="Times New Roman" w:hAnsi="Times New Roman" w:cs="Times New Roman"/>
        <w:sz w:val="21"/>
        <w:szCs w:val="21"/>
      </w:rPr>
    </w:pPr>
    <w:r>
      <w:rPr>
        <w:sz w:val="21"/>
      </w:rPr>
      <w:pict>
        <v:shape id="_x0000_s3076" o:spid="_x0000_s307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pPr>
                  <w:pStyle w:val="1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r>
                  <w:rPr>
                    <w:rFonts w:hint="eastAsia"/>
                  </w:rPr>
                  <w:t xml:space="preserve"> —</w:t>
                </w:r>
              </w:p>
            </w:txbxContent>
          </v:textbox>
        </v:shape>
      </w:pict>
    </w:r>
  </w:p>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sz w:val="18"/>
      </w:rPr>
    </w:pPr>
    <w:r>
      <w:rPr>
        <w:sz w:val="18"/>
      </w:rPr>
      <w:pict>
        <v:shape id="_x0000_s3075" o:spid="_x0000_s3075"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joinstyle="miter"/>
          <v:imagedata o:title=""/>
          <o:lock v:ext="edit"/>
          <v:textbox inset="0mm,0mm,0mm,0mm" style="mso-fit-shape-to-text:t;">
            <w:txbxContent>
              <w:p>
                <w:pPr>
                  <w:snapToGrid w:val="0"/>
                  <w:jc w:val="left"/>
                  <w:rPr>
                    <w:rFonts w:ascii="宋体" w:hAnsi="宋体" w:eastAsia="宋体" w:cs="宋体"/>
                    <w:szCs w:val="28"/>
                  </w:rPr>
                </w:pPr>
                <w:r>
                  <w:rPr>
                    <w:rFonts w:hint="eastAsia" w:ascii="宋体" w:hAnsi="宋体" w:eastAsia="宋体" w:cs="宋体"/>
                    <w:szCs w:val="28"/>
                  </w:rPr>
                  <w:t xml:space="preserve">— </w:t>
                </w:r>
                <w:r>
                  <w:rPr>
                    <w:rFonts w:hint="eastAsia" w:ascii="宋体" w:hAnsi="宋体" w:eastAsia="宋体" w:cs="宋体"/>
                    <w:szCs w:val="28"/>
                  </w:rPr>
                  <w:fldChar w:fldCharType="begin"/>
                </w:r>
                <w:r>
                  <w:rPr>
                    <w:rFonts w:hint="eastAsia" w:ascii="宋体" w:hAnsi="宋体" w:eastAsia="宋体" w:cs="宋体"/>
                    <w:szCs w:val="28"/>
                  </w:rPr>
                  <w:instrText xml:space="preserve"> PAGE  \* MERGEFORMAT </w:instrText>
                </w:r>
                <w:r>
                  <w:rPr>
                    <w:rFonts w:hint="eastAsia" w:ascii="宋体" w:hAnsi="宋体" w:eastAsia="宋体" w:cs="宋体"/>
                    <w:szCs w:val="28"/>
                  </w:rPr>
                  <w:fldChar w:fldCharType="separate"/>
                </w:r>
                <w:r>
                  <w:rPr>
                    <w:rFonts w:ascii="宋体" w:hAnsi="宋体" w:eastAsia="宋体" w:cs="宋体"/>
                    <w:szCs w:val="28"/>
                  </w:rPr>
                  <w:t>39</w:t>
                </w:r>
                <w:r>
                  <w:rPr>
                    <w:rFonts w:hint="eastAsia" w:ascii="宋体" w:hAnsi="宋体" w:eastAsia="宋体" w:cs="宋体"/>
                    <w:szCs w:val="28"/>
                  </w:rPr>
                  <w:fldChar w:fldCharType="end"/>
                </w:r>
                <w:r>
                  <w:rPr>
                    <w:rFonts w:hint="eastAsia" w:ascii="宋体" w:hAnsi="宋体" w:eastAsia="宋体" w:cs="宋体"/>
                    <w:szCs w:val="28"/>
                  </w:rPr>
                  <w:t xml:space="preserve"> —</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3074" o:spid="_x0000_s3074"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pPr>
                  <w:pStyle w:val="1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r>
                  <w:rPr>
                    <w:rFonts w:hint="eastAsia"/>
                  </w:rPr>
                  <w:t xml:space="preserve"> —</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3073" o:spid="_x0000_s3073"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path/>
          <v:fill on="f" focussize="0,0"/>
          <v:stroke on="f" weight="0.5pt" joinstyle="miter"/>
          <v:imagedata o:title=""/>
          <o:lock v:ext="edit"/>
          <v:textbox inset="0mm,0mm,0mm,0mm" style="mso-fit-shape-to-text:t;">
            <w:txbxContent>
              <w:p>
                <w:pPr>
                  <w:pStyle w:val="1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56</w:t>
                </w:r>
                <w:r>
                  <w:rPr>
                    <w:rFonts w:hint="eastAsia"/>
                  </w:rPr>
                  <w:fldChar w:fldCharType="end"/>
                </w:r>
                <w:r>
                  <w:rPr>
                    <w:rFonts w:hint="eastAsia"/>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ind w:firstLine="420" w:firstLineChars="200"/>
      <w:rPr>
        <w:rFonts w:ascii="宋体" w:hAnsi="宋体" w:eastAsia="宋体" w:cs="宋体"/>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宋体" w:hAnsi="宋体" w:eastAsia="宋体" w:cs="宋体"/>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宋体" w:hAnsi="宋体" w:eastAsia="宋体" w:cs="宋体"/>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documentProtection w:enforcement="0"/>
  <w:defaultTabStop w:val="420"/>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c3ZGVlYzIyYTFkODg5ZDVlODFhMDc3Y2QwNDZmYzIifQ=="/>
    <w:docVar w:name="KSO_WPS_MARK_KEY" w:val="aef6ef3d-1aed-4fbc-a813-abd580c98db2"/>
  </w:docVars>
  <w:rsids>
    <w:rsidRoot w:val="668F5FB5"/>
    <w:rsid w:val="0028491D"/>
    <w:rsid w:val="00413978"/>
    <w:rsid w:val="007E79FD"/>
    <w:rsid w:val="009067A7"/>
    <w:rsid w:val="0094730F"/>
    <w:rsid w:val="00AB7A64"/>
    <w:rsid w:val="00FE1815"/>
    <w:rsid w:val="02993BA5"/>
    <w:rsid w:val="031E3709"/>
    <w:rsid w:val="05464A26"/>
    <w:rsid w:val="06481382"/>
    <w:rsid w:val="0A0623AC"/>
    <w:rsid w:val="0C825F31"/>
    <w:rsid w:val="0D0977AE"/>
    <w:rsid w:val="0D197B03"/>
    <w:rsid w:val="0E222E56"/>
    <w:rsid w:val="0E2B2565"/>
    <w:rsid w:val="0E351626"/>
    <w:rsid w:val="0E353782"/>
    <w:rsid w:val="0E7027A9"/>
    <w:rsid w:val="10A4262E"/>
    <w:rsid w:val="10FC6398"/>
    <w:rsid w:val="11F53491"/>
    <w:rsid w:val="13EC2AE4"/>
    <w:rsid w:val="14575AE1"/>
    <w:rsid w:val="145B6E08"/>
    <w:rsid w:val="15EF45B1"/>
    <w:rsid w:val="167D3EBB"/>
    <w:rsid w:val="17560276"/>
    <w:rsid w:val="1791420F"/>
    <w:rsid w:val="18C3076F"/>
    <w:rsid w:val="199F0751"/>
    <w:rsid w:val="1C424981"/>
    <w:rsid w:val="1C6A0692"/>
    <w:rsid w:val="1DE5651E"/>
    <w:rsid w:val="1EBA21A5"/>
    <w:rsid w:val="216C18C3"/>
    <w:rsid w:val="21C746EA"/>
    <w:rsid w:val="220C012F"/>
    <w:rsid w:val="221F1219"/>
    <w:rsid w:val="22AD1A45"/>
    <w:rsid w:val="23F21382"/>
    <w:rsid w:val="242A4583"/>
    <w:rsid w:val="25D45DBC"/>
    <w:rsid w:val="27430679"/>
    <w:rsid w:val="2A252614"/>
    <w:rsid w:val="2CD0422B"/>
    <w:rsid w:val="2D93041C"/>
    <w:rsid w:val="2DE976DA"/>
    <w:rsid w:val="2E070863"/>
    <w:rsid w:val="2E220AB6"/>
    <w:rsid w:val="2E591C87"/>
    <w:rsid w:val="315840B2"/>
    <w:rsid w:val="31FD5840"/>
    <w:rsid w:val="32075203"/>
    <w:rsid w:val="32A50F33"/>
    <w:rsid w:val="3390201E"/>
    <w:rsid w:val="33D5743A"/>
    <w:rsid w:val="3B903C07"/>
    <w:rsid w:val="3C3C3441"/>
    <w:rsid w:val="3CC67C29"/>
    <w:rsid w:val="3D402D06"/>
    <w:rsid w:val="3EBA2645"/>
    <w:rsid w:val="40731B6F"/>
    <w:rsid w:val="441A06E2"/>
    <w:rsid w:val="4508753B"/>
    <w:rsid w:val="4822715D"/>
    <w:rsid w:val="48825F81"/>
    <w:rsid w:val="494B1B28"/>
    <w:rsid w:val="4B05681E"/>
    <w:rsid w:val="4C6023E1"/>
    <w:rsid w:val="4DFA638F"/>
    <w:rsid w:val="4FC649C6"/>
    <w:rsid w:val="51A375CA"/>
    <w:rsid w:val="563F62C2"/>
    <w:rsid w:val="5657771E"/>
    <w:rsid w:val="56963D5E"/>
    <w:rsid w:val="57864151"/>
    <w:rsid w:val="58523174"/>
    <w:rsid w:val="5AEA540F"/>
    <w:rsid w:val="5BAF0B1D"/>
    <w:rsid w:val="5CBD7585"/>
    <w:rsid w:val="5CC826A5"/>
    <w:rsid w:val="5FBD5C3D"/>
    <w:rsid w:val="60B7783F"/>
    <w:rsid w:val="61D27D3D"/>
    <w:rsid w:val="61FA7677"/>
    <w:rsid w:val="62EC02A8"/>
    <w:rsid w:val="667A42E4"/>
    <w:rsid w:val="668F5FB5"/>
    <w:rsid w:val="676B3F0B"/>
    <w:rsid w:val="67A241D1"/>
    <w:rsid w:val="69987A16"/>
    <w:rsid w:val="69B1626F"/>
    <w:rsid w:val="6AD747FB"/>
    <w:rsid w:val="6CE725E7"/>
    <w:rsid w:val="6E9F0813"/>
    <w:rsid w:val="6F497DA1"/>
    <w:rsid w:val="6FC27E3F"/>
    <w:rsid w:val="701A2428"/>
    <w:rsid w:val="7165202D"/>
    <w:rsid w:val="73006E8D"/>
    <w:rsid w:val="75DC44BC"/>
    <w:rsid w:val="760C006B"/>
    <w:rsid w:val="7747712A"/>
    <w:rsid w:val="77E14CA0"/>
    <w:rsid w:val="792F6111"/>
    <w:rsid w:val="79587293"/>
    <w:rsid w:val="7C480AF8"/>
    <w:rsid w:val="7CF84488"/>
    <w:rsid w:val="7DFE15AA"/>
    <w:rsid w:val="7E353D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6">
    <w:name w:val="table of authorities"/>
    <w:basedOn w:val="1"/>
    <w:next w:val="1"/>
    <w:qFormat/>
    <w:uiPriority w:val="99"/>
    <w:pPr>
      <w:ind w:left="200" w:leftChars="200"/>
    </w:pPr>
  </w:style>
  <w:style w:type="paragraph" w:styleId="7">
    <w:name w:val="toc 3"/>
    <w:basedOn w:val="1"/>
    <w:next w:val="1"/>
    <w:unhideWhenUsed/>
    <w:qFormat/>
    <w:uiPriority w:val="39"/>
    <w:pPr>
      <w:widowControl/>
      <w:spacing w:after="100" w:line="276" w:lineRule="auto"/>
      <w:ind w:left="440"/>
      <w:jc w:val="left"/>
    </w:pPr>
    <w:rPr>
      <w:kern w:val="0"/>
      <w:sz w:val="22"/>
      <w:szCs w:val="22"/>
    </w:rPr>
  </w:style>
  <w:style w:type="paragraph" w:styleId="8">
    <w:name w:val="Body Text Indent 2"/>
    <w:basedOn w:val="1"/>
    <w:next w:val="4"/>
    <w:autoRedefine/>
    <w:qFormat/>
    <w:uiPriority w:val="0"/>
    <w:pPr>
      <w:spacing w:after="120" w:line="480" w:lineRule="auto"/>
      <w:ind w:left="420" w:leftChars="200"/>
    </w:pPr>
  </w:style>
  <w:style w:type="paragraph" w:styleId="9">
    <w:name w:val="Balloon Text"/>
    <w:basedOn w:val="1"/>
    <w:link w:val="24"/>
    <w:qFormat/>
    <w:uiPriority w:val="0"/>
    <w:rPr>
      <w:sz w:val="18"/>
      <w:szCs w:val="18"/>
    </w:rPr>
  </w:style>
  <w:style w:type="paragraph" w:styleId="10">
    <w:name w:val="footer"/>
    <w:basedOn w:val="1"/>
    <w:link w:val="27"/>
    <w:qFormat/>
    <w:uiPriority w:val="99"/>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autoRedefine/>
    <w:qFormat/>
    <w:uiPriority w:val="39"/>
    <w:pPr>
      <w:snapToGrid w:val="0"/>
      <w:spacing w:line="640" w:lineRule="exact"/>
      <w:ind w:firstLine="705"/>
    </w:pPr>
    <w:rPr>
      <w:rFonts w:ascii="仿宋_GB2312" w:eastAsia="仿宋_GB2312"/>
      <w:color w:val="000000"/>
      <w:sz w:val="36"/>
      <w:szCs w:val="36"/>
    </w:rPr>
  </w:style>
  <w:style w:type="paragraph" w:styleId="13">
    <w:name w:val="toc 2"/>
    <w:basedOn w:val="1"/>
    <w:next w:val="1"/>
    <w:qFormat/>
    <w:uiPriority w:val="39"/>
    <w:pPr>
      <w:ind w:left="420" w:leftChars="200"/>
    </w:p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autoRedefine/>
    <w:qFormat/>
    <w:uiPriority w:val="0"/>
    <w:rPr>
      <w:b/>
    </w:rPr>
  </w:style>
  <w:style w:type="character" w:styleId="19">
    <w:name w:val="Hyperlink"/>
    <w:basedOn w:val="17"/>
    <w:qFormat/>
    <w:uiPriority w:val="99"/>
    <w:rPr>
      <w:color w:val="0563C1" w:themeColor="hyperlink"/>
      <w:u w:val="single"/>
    </w:rPr>
  </w:style>
  <w:style w:type="paragraph" w:customStyle="1" w:styleId="20">
    <w:name w:val="样式1"/>
    <w:basedOn w:val="1"/>
    <w:autoRedefine/>
    <w:qFormat/>
    <w:uiPriority w:val="0"/>
  </w:style>
  <w:style w:type="paragraph" w:customStyle="1" w:styleId="21">
    <w:name w:val="WPSOffice手动目录 1"/>
    <w:autoRedefine/>
    <w:qFormat/>
    <w:uiPriority w:val="0"/>
    <w:rPr>
      <w:rFonts w:asciiTheme="minorHAnsi" w:hAnsiTheme="minorHAnsi" w:eastAsiaTheme="minorEastAsia" w:cstheme="minorBidi"/>
      <w:lang w:val="en-US" w:eastAsia="zh-CN" w:bidi="ar-SA"/>
    </w:rPr>
  </w:style>
  <w:style w:type="paragraph" w:customStyle="1" w:styleId="22">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3">
    <w:name w:val="WPSOffice手动目录 3"/>
    <w:autoRedefine/>
    <w:qFormat/>
    <w:uiPriority w:val="0"/>
    <w:pPr>
      <w:ind w:left="400" w:leftChars="400"/>
    </w:pPr>
    <w:rPr>
      <w:rFonts w:asciiTheme="minorHAnsi" w:hAnsiTheme="minorHAnsi" w:eastAsiaTheme="minorEastAsia" w:cstheme="minorBidi"/>
      <w:lang w:val="en-US" w:eastAsia="zh-CN" w:bidi="ar-SA"/>
    </w:rPr>
  </w:style>
  <w:style w:type="character" w:customStyle="1" w:styleId="24">
    <w:name w:val="批注框文本 Char"/>
    <w:basedOn w:val="17"/>
    <w:link w:val="9"/>
    <w:qFormat/>
    <w:uiPriority w:val="0"/>
    <w:rPr>
      <w:kern w:val="2"/>
      <w:sz w:val="18"/>
      <w:szCs w:val="18"/>
    </w:rPr>
  </w:style>
  <w:style w:type="character" w:customStyle="1" w:styleId="25">
    <w:name w:val="标题 1 Char"/>
    <w:basedOn w:val="17"/>
    <w:link w:val="3"/>
    <w:autoRedefine/>
    <w:qFormat/>
    <w:uiPriority w:val="0"/>
    <w:rPr>
      <w:b/>
      <w:bCs/>
      <w:kern w:val="44"/>
      <w:sz w:val="44"/>
      <w:szCs w:val="44"/>
    </w:rPr>
  </w:style>
  <w:style w:type="paragraph" w:customStyle="1" w:styleId="26">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 w:type="character" w:customStyle="1" w:styleId="27">
    <w:name w:val="页脚 Char"/>
    <w:basedOn w:val="17"/>
    <w:link w:val="10"/>
    <w:autoRedefine/>
    <w:qFormat/>
    <w:uiPriority w:val="99"/>
    <w:rPr>
      <w:kern w:val="2"/>
      <w:sz w:val="18"/>
      <w:szCs w:val="24"/>
    </w:rPr>
  </w:style>
  <w:style w:type="paragraph" w:customStyle="1" w:styleId="28">
    <w:name w:val="Heading5"/>
    <w:basedOn w:val="1"/>
    <w:next w:val="1"/>
    <w:qFormat/>
    <w:uiPriority w:val="0"/>
    <w:pPr>
      <w:keepNext/>
      <w:keepLines/>
      <w:ind w:left="851" w:hanging="851"/>
      <w:textAlignment w:val="baseline"/>
    </w:pPr>
    <w:rPr>
      <w:rFonts w:ascii="Calibri" w:hAnsi="Calibri" w:eastAsia="宋体" w:cs="Times New Roman"/>
      <w:b/>
      <w:bCs/>
      <w:szCs w:val="28"/>
    </w:rPr>
  </w:style>
  <w:style w:type="character" w:customStyle="1" w:styleId="29">
    <w:name w:val="font41"/>
    <w:basedOn w:val="17"/>
    <w:qFormat/>
    <w:uiPriority w:val="0"/>
    <w:rPr>
      <w:rFonts w:hint="eastAsia" w:ascii="仿宋_GB2312" w:eastAsia="仿宋_GB2312" w:cs="仿宋_GB2312"/>
      <w:color w:val="000000"/>
      <w:sz w:val="22"/>
      <w:szCs w:val="22"/>
      <w:u w:val="none"/>
    </w:rPr>
  </w:style>
  <w:style w:type="character" w:customStyle="1" w:styleId="30">
    <w:name w:val="font21"/>
    <w:basedOn w:val="17"/>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3078"/>
    <customShpInfo spid="_x0000_s3077"/>
    <customShpInfo spid="_x0000_s3076"/>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D357F-66C1-4F4E-88C8-2DE49AFD738F}">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58</Pages>
  <Words>23621</Words>
  <Characters>5528</Characters>
  <Lines>46</Lines>
  <Paragraphs>58</Paragraphs>
  <TotalTime>5</TotalTime>
  <ScaleCrop>false</ScaleCrop>
  <LinksUpToDate>false</LinksUpToDate>
  <CharactersWithSpaces>29091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2024-01-30T07:18:00Z</dcterms:created>
  <dc:creator>Administrator</dc:creator>
  <cp:lastModifiedBy>刘卫东</cp:lastModifiedBy>
  <cp:lastPrinted>2022-01-09T02:43:00Z</cp:lastPrinted>
  <dcterms:modified xsi:type="dcterms:W3CDTF">2024-01-31T01:20:31Z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ABAD6E77E0124932B8F67E8E7FA327C6_13</vt:lpwstr>
  </property>
</Properties>
</file>