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1324" w:type="dxa"/>
        <w:tblInd w:w="-7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096"/>
        <w:gridCol w:w="691"/>
        <w:gridCol w:w="6445"/>
        <w:gridCol w:w="605"/>
        <w:gridCol w:w="627"/>
        <w:gridCol w:w="12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bidi="ar"/>
              </w:rPr>
              <w:t>附件1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 w:bidi="ar"/>
              </w:rPr>
              <w:t>：</w:t>
            </w:r>
          </w:p>
          <w:p>
            <w:pPr>
              <w:widowControl/>
              <w:ind w:firstLine="1445" w:firstLineChars="400"/>
              <w:jc w:val="left"/>
              <w:textAlignment w:val="center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val="en-US" w:eastAsia="zh-CN" w:bidi="ar"/>
              </w:rPr>
              <w:t>市政工程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bidi="ar"/>
              </w:rPr>
              <w:t>施工现场文明施工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eastAsia="zh-CN" w:bidi="ar"/>
              </w:rPr>
              <w:t>分级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lang w:bidi="ar"/>
              </w:rPr>
              <w:t>管理评分表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3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项目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分项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文明施工要求</w:t>
            </w:r>
          </w:p>
        </w:tc>
        <w:tc>
          <w:tcPr>
            <w:tcW w:w="6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分值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  <w:t>扣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9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封闭管理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工地大门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1.施工现场未按规定（标准化图集）要求设置出入口大门的，扣5分；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2.大门口未硬化或铺设钢板的扣5分；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3.大门口未设置施工单位标识的扣2分。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2377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施工围挡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1.新开工项目未按规定报送围挡设置方案的，扣5分；             2.施工现场未按审批方案和规定设置封闭围挡的，扣 5分；        3.围挡破损、污染严重的，每处扣 3分；                         4.进出口及围挡内外侧范围存在明显尘土或垃圾的，扣 3分；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5.围挡未按要求“隔一设一”张贴公益广告的，每处扣 2分；         6.围挡设置商业广告的，每处扣2分；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7.工程完工后，施工单位未及时拆除施工现场围挡和其他施工临时设施的，扣5分。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6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742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施工场地</w:t>
            </w: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现场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  <w:t>临时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道路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  <w:t>及排水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 xml:space="preserve">1.施工现场主要出入口及临时便道未硬化处理，扣2分； 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2.施工临时调流路出现破损、坑洼未及时修复的，铺设钢板翘曲、变形、空洞等影响通行的，每处扣1分；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3.施工临时调流路未设置联系人信息牌、交通导向标识牌或警示标识的，扣2分。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16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1.施工临时便道或临时调流路排水不流畅、存在积水的每处扣1分；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2.施工现场降水排水未经沉淀处理达标，施工污水、泥浆随意排放或接入市政雨水管网的扣5分。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3143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生产加工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  <w:t>场区设置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1.施工现场未按照“分隔分区”的原则分别设置生活区、办公区、施工区的，扣5分；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2.仓库、材料堆放场、钢筋加工场、木材加工场、垃圾堆放场以及设备操作棚等生产区域地面未硬化的，每处扣2分；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3.项目部未在施工现场建立保洁清扫制度，未配备保洁人员和洒水设备的，扣3分；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4.未对施工主要道路、围挡、加工区、材料堆放区和办公区、生活区等部位定期进行保洁清扫的，扣3分；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5.食堂卫生许可证、人员健康证明未上墙公示，扣3分；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6.食堂未建立责任制和卫生管理制度的，扣3分；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7.施工现场未开展灭蚊、灭蝇、灭鼠、灭蟑螂等病媒生物防制工作，扣5分；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8.宿舍净高、宽度、居住人数不符合规定要求，扣5分。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85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096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材料码放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 xml:space="preserve">1.建筑材料、构配件、料具未分类整齐堆放的，每处扣2分； 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2.未按要求设置材料标识牌的，每处扣2分。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303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0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建筑垃圾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 xml:space="preserve">1.施工现场生活垃圾未进行分类处置的，扣5分； 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 xml:space="preserve">2.留置回填土未采用防尘网进行遮盖的，扣5分； 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3.高空抛撒或焚烧建筑垃圾的，扣5分；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4.施工现场建筑垃圾未及时清运的，扣5分。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411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非道路移动机械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1.施工现场非道路移动机械应未办理环保编码的，每台扣5分；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2.现场非道路移动机械存在冒黑烟的，每台扣5分；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474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施工噪音及光污染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1.噪声敏感区域违规进行夜间施工的或未办理夜间施工许可的，扣 5 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2.强噪音施工机具未采取有效降噪措施的，扣 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3.施工边界噪声及光污染超过规定要求，导致投诉的，扣5分。</w:t>
            </w:r>
          </w:p>
        </w:tc>
        <w:tc>
          <w:tcPr>
            <w:tcW w:w="6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786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公示标牌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十牌两图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1.未在施工现场大门外侧按规定要求设置“十牌两图”的，扣5分（工程概况牌、消防保卫牌、安全生产牌、文明施工牌及扬尘污染防治公示牌、管理人员名单及监督电话牌、 入场须知牌、施工现场管理制度牌、安全生产责任承诺公示牌、施工安全生产举报奖励公示牌、重大危险源公示牌、施工现场总平面图、工程立面效果图）。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923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安全警示牌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1.未在主要施工部位、作业层面和危险区域以及主要通道口设置醒目的安全警示标志的，每处扣2分。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112" w:hRule="atLeast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扬尘环保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车辆冲洗</w:t>
            </w:r>
          </w:p>
        </w:tc>
        <w:tc>
          <w:tcPr>
            <w:tcW w:w="64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1.施工现场车辆出入口未设置车辆冲洗设施，存在未经冲洗，带泥上路现象的，扣5分；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2.未建立车辆进出台账，每车扣5分。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22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2019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裸土及易起尘物料覆盖</w:t>
            </w:r>
          </w:p>
        </w:tc>
        <w:tc>
          <w:tcPr>
            <w:tcW w:w="64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1.施工现场裸土未采取防尘网、人工草皮、种植绿植覆盖、抑尘剂或进行硬化、固化等处理的，每处扣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分；</w:t>
            </w:r>
          </w:p>
          <w:p>
            <w:pPr>
              <w:widowControl/>
              <w:numPr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2.裸露3个月及以上施工区域空地未采取种草等绿化方式的，扣5分；</w:t>
            </w:r>
          </w:p>
          <w:p>
            <w:pPr>
              <w:widowControl/>
              <w:numPr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3.施工现场未使用预拌混凝土及预拌砂浆的，每处扣5分；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4.施工现场堆放、装卸、运输易产生扬尘污染的物料未采取遮盖、入库、封闭、洒水等措施的，每处扣3分；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5.施工现场切割材料扬尘控制不到位，每处扣2分。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90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渣土运输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1.渣土运输未办理处置、准运等核准手续的，扣5分；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2.进出口处未设置《建筑工地渣土运输扬尘管控公示牌》和建立车辆进出台账的，扣5分；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3.未使用密闭加盖渣土运输车辆的，有超载、撒漏现象的，扣5分。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4.施工现场渣土堆载高度超过围挡高度的，扣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分。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40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喷淋降尘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在土（石）方开挖、爆破、回填、整平、运输、卸载、地基处理等施工过程中，未进行湿法作业，现场未采取喷雾、洒水等措施的，扣8分。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91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扬尘在线监测系统</w:t>
            </w:r>
          </w:p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施工现场未安装扬尘、噪音在线监测系统，未定期维护保养，确保设备运行、数据传输正常的，扣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分。</w:t>
            </w:r>
          </w:p>
          <w:p>
            <w:pPr>
              <w:widowControl/>
              <w:numPr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121" w:hRule="atLeast"/>
        </w:trPr>
        <w:tc>
          <w:tcPr>
            <w:tcW w:w="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人员形象</w:t>
            </w:r>
          </w:p>
        </w:tc>
        <w:tc>
          <w:tcPr>
            <w:tcW w:w="64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进入施工现场人员未统一穿戴反光背心、安全帽等个人防护用品，每人扣2分。</w:t>
            </w:r>
          </w:p>
        </w:tc>
        <w:tc>
          <w:tcPr>
            <w:tcW w:w="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37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交底培训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1.未编制扬尘防治、噪音控制等文明施工专项方案的，扣5分；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2.未对易产生文明施工问题的施工班组进行文明施工专项培训的，扣5分；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3.晨会未包含文明施工内容的，扣</w:t>
            </w:r>
            <w:r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>分。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017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 w:bidi="ar"/>
              </w:rPr>
              <w:t xml:space="preserve">文明施工投诉处理及问题整改不及时的，扣8分。        </w:t>
            </w:r>
          </w:p>
        </w:tc>
        <w:tc>
          <w:tcPr>
            <w:tcW w:w="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4" w:type="dxa"/>
          <w:trHeight w:val="1076" w:hRule="atLeast"/>
        </w:trPr>
        <w:tc>
          <w:tcPr>
            <w:tcW w:w="88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eastAsia="zh-CN" w:bidi="ar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得分值</w:t>
            </w:r>
          </w:p>
        </w:tc>
        <w:tc>
          <w:tcPr>
            <w:tcW w:w="1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3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考核内容共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项，共计100分，遇有缺项时，总得分值=(实得分值/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eastAsia="zh-CN" w:bidi="ar"/>
              </w:rPr>
              <w:t>缺项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满分值)×100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eastAsia="zh-CN" w:bidi="ar"/>
              </w:rPr>
              <w:t>。</w:t>
            </w:r>
          </w:p>
          <w:p>
            <w:pPr>
              <w:widowControl/>
              <w:ind w:firstLine="662" w:firstLineChars="300"/>
              <w:jc w:val="left"/>
              <w:textAlignment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公用场站、管廊工程按照市政工程施工现场文明施工分级管理评分表执行。</w:t>
            </w:r>
          </w:p>
        </w:tc>
      </w:tr>
    </w:tbl>
    <w:p>
      <w:pPr>
        <w:spacing w:line="44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6"/>
      </w:pPr>
    </w:p>
    <w:sectPr>
      <w:footerReference r:id="rId3" w:type="default"/>
      <w:pgSz w:w="11906" w:h="16838"/>
      <w:pgMar w:top="1474" w:right="1984" w:bottom="1587" w:left="209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Genkaimincho">
    <w:panose1 w:val="02000900000000000000"/>
    <w:charset w:val="80"/>
    <w:family w:val="auto"/>
    <w:pitch w:val="default"/>
    <w:sig w:usb0="A00002FF" w:usb1="68C7FE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686057905"/>
                          </w:sdtPr>
                          <w:sdtContent>
                            <w:p>
                              <w:pPr>
                                <w:pStyle w:val="5"/>
                                <w:jc w:val="center"/>
                              </w:pP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686057905"/>
                    </w:sdtPr>
                    <w:sdtContent>
                      <w:p>
                        <w:pPr>
                          <w:pStyle w:val="5"/>
                          <w:jc w:val="center"/>
                        </w:pP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5Yzc5YjE3ZGI2ODlkNDMwNzg2NWQ5ZmMxMzIzMDEifQ=="/>
  </w:docVars>
  <w:rsids>
    <w:rsidRoot w:val="70DD6B35"/>
    <w:rsid w:val="00123D5F"/>
    <w:rsid w:val="00246D53"/>
    <w:rsid w:val="003F64A2"/>
    <w:rsid w:val="006C74A9"/>
    <w:rsid w:val="00BF1A4C"/>
    <w:rsid w:val="01EE6782"/>
    <w:rsid w:val="041F4121"/>
    <w:rsid w:val="058D623A"/>
    <w:rsid w:val="0628613D"/>
    <w:rsid w:val="065B47C8"/>
    <w:rsid w:val="0ECC1F5E"/>
    <w:rsid w:val="0F5552E8"/>
    <w:rsid w:val="11CF6F78"/>
    <w:rsid w:val="11E6269D"/>
    <w:rsid w:val="15425677"/>
    <w:rsid w:val="1DC55495"/>
    <w:rsid w:val="1FC81641"/>
    <w:rsid w:val="290A4A1C"/>
    <w:rsid w:val="2EEB24C9"/>
    <w:rsid w:val="30600EDA"/>
    <w:rsid w:val="321E5201"/>
    <w:rsid w:val="33121431"/>
    <w:rsid w:val="33452F3E"/>
    <w:rsid w:val="36174D7F"/>
    <w:rsid w:val="38CD40C7"/>
    <w:rsid w:val="3A615767"/>
    <w:rsid w:val="3BD34132"/>
    <w:rsid w:val="3EFB6604"/>
    <w:rsid w:val="484723CB"/>
    <w:rsid w:val="495763F6"/>
    <w:rsid w:val="4B8F5E2B"/>
    <w:rsid w:val="4BF76347"/>
    <w:rsid w:val="4CB36365"/>
    <w:rsid w:val="4D8A6F15"/>
    <w:rsid w:val="50C63829"/>
    <w:rsid w:val="50FE2392"/>
    <w:rsid w:val="53E070EF"/>
    <w:rsid w:val="556847DF"/>
    <w:rsid w:val="5CC139F3"/>
    <w:rsid w:val="61381B7B"/>
    <w:rsid w:val="69024ACD"/>
    <w:rsid w:val="6EFA5F75"/>
    <w:rsid w:val="70DD6B35"/>
    <w:rsid w:val="717DD83B"/>
    <w:rsid w:val="71E918CE"/>
    <w:rsid w:val="72B11C55"/>
    <w:rsid w:val="79A63E0D"/>
    <w:rsid w:val="7DBF6D99"/>
    <w:rsid w:val="7EF5A6FA"/>
    <w:rsid w:val="7F75DACD"/>
    <w:rsid w:val="7F7E85FF"/>
    <w:rsid w:val="7FFB89F2"/>
    <w:rsid w:val="8F3FEB57"/>
    <w:rsid w:val="B7BF580E"/>
    <w:rsid w:val="EFF37072"/>
    <w:rsid w:val="EFFF3B82"/>
    <w:rsid w:val="F535EE7C"/>
    <w:rsid w:val="F7CFFFF7"/>
    <w:rsid w:val="F7DE837B"/>
    <w:rsid w:val="F9BF6C95"/>
    <w:rsid w:val="F9BF7244"/>
    <w:rsid w:val="FBFFC92B"/>
    <w:rsid w:val="FEF72DF7"/>
    <w:rsid w:val="FFB5A927"/>
    <w:rsid w:val="FFFFB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556"/>
    </w:pPr>
    <w:rPr>
      <w:rFonts w:ascii="仿宋_GB2312" w:hAnsi="Times New Roman" w:eastAsia="仿宋_GB2312" w:cs="仿宋_GB2312"/>
    </w:rPr>
  </w:style>
  <w:style w:type="paragraph" w:styleId="3">
    <w:name w:val="Body Text Indent"/>
    <w:basedOn w:val="1"/>
    <w:next w:val="4"/>
    <w:qFormat/>
    <w:uiPriority w:val="0"/>
    <w:pPr>
      <w:ind w:firstLine="630"/>
    </w:pPr>
  </w:style>
  <w:style w:type="paragraph" w:styleId="4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Indent 2"/>
    <w:basedOn w:val="1"/>
    <w:qFormat/>
    <w:uiPriority w:val="99"/>
    <w:pPr>
      <w:spacing w:before="100" w:beforeAutospacing="1" w:after="100" w:afterAutospacing="1" w:line="480" w:lineRule="auto"/>
      <w:ind w:left="420" w:leftChars="200"/>
    </w:pPr>
    <w:rPr>
      <w:rFonts w:ascii="Times New Roman" w:hAnsi="Times New Roman" w:eastAsia="宋体"/>
      <w:szCs w:val="21"/>
    </w:rPr>
  </w:style>
  <w:style w:type="paragraph" w:styleId="7">
    <w:name w:val="Body Text First Indent 2"/>
    <w:basedOn w:val="1"/>
    <w:next w:val="1"/>
    <w:link w:val="12"/>
    <w:qFormat/>
    <w:uiPriority w:val="0"/>
    <w:pPr>
      <w:spacing w:after="120"/>
      <w:ind w:left="420" w:leftChars="200" w:firstLine="42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1"/>
    <w:basedOn w:val="1"/>
    <w:qFormat/>
    <w:uiPriority w:val="0"/>
    <w:pPr>
      <w:ind w:firstLine="640" w:firstLineChars="200"/>
      <w:jc w:val="left"/>
    </w:pPr>
    <w:rPr>
      <w:rFonts w:hint="eastAsia" w:ascii="仿宋" w:hAnsi="仿宋" w:eastAsia="仿宋" w:cs="仿宋"/>
      <w:sz w:val="28"/>
      <w:szCs w:val="28"/>
    </w:rPr>
  </w:style>
  <w:style w:type="character" w:customStyle="1" w:styleId="12">
    <w:name w:val="正文文本首行缩进 2 字符"/>
    <w:link w:val="7"/>
    <w:qFormat/>
    <w:uiPriority w:val="0"/>
  </w:style>
  <w:style w:type="character" w:customStyle="1" w:styleId="13">
    <w:name w:val="正文文本 Exact"/>
    <w:qFormat/>
    <w:uiPriority w:val="0"/>
    <w:rPr>
      <w:rFonts w:ascii="MingLiU" w:hAnsi="MingLiU" w:eastAsia="MingLiU" w:cs="MingLiU"/>
      <w:spacing w:val="1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424</Words>
  <Characters>2418</Characters>
  <Lines>20</Lines>
  <Paragraphs>5</Paragraphs>
  <TotalTime>3</TotalTime>
  <ScaleCrop>false</ScaleCrop>
  <LinksUpToDate>false</LinksUpToDate>
  <CharactersWithSpaces>2837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2024-03-09T06:52:00Z</dcterms:created>
  <dc:creator>等吧！</dc:creator>
  <cp:lastModifiedBy>huawei</cp:lastModifiedBy>
  <dcterms:modified xsi:type="dcterms:W3CDTF">2024-03-28T15:47:20Z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193664960932461BB2F4638201A54C1D</vt:lpwstr>
  </property>
</Properties>
</file>