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1324" w:type="dxa"/>
        <w:tblInd w:w="-73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096"/>
        <w:gridCol w:w="759"/>
        <w:gridCol w:w="6377"/>
        <w:gridCol w:w="523"/>
        <w:gridCol w:w="600"/>
        <w:gridCol w:w="13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bidi="ar"/>
                <w14:textFill>
                  <w14:solidFill>
                    <w14:schemeClr w14:val="tx1"/>
                  </w14:solidFill>
                </w14:textFill>
              </w:rPr>
              <w:t>附件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2：</w:t>
            </w:r>
          </w:p>
          <w:p>
            <w:pPr>
              <w:widowControl/>
              <w:ind w:firstLine="1807" w:firstLineChars="500"/>
              <w:jc w:val="both"/>
              <w:textAlignment w:val="center"/>
              <w:rPr>
                <w:rFonts w:ascii="宋体" w:hAnsi="宋体" w:eastAsia="宋体" w:cs="宋体"/>
                <w:b/>
                <w:bCs/>
                <w:color w:val="000000" w:themeColor="text1"/>
                <w:sz w:val="36"/>
                <w:szCs w:val="3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36"/>
                <w:szCs w:val="36"/>
                <w:lang w:bidi="ar"/>
                <w14:textFill>
                  <w14:solidFill>
                    <w14:schemeClr w14:val="tx1"/>
                  </w14:solidFill>
                </w14:textFill>
              </w:rPr>
              <w:t>公用工程施工现场文明施工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36"/>
                <w:szCs w:val="36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分级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36"/>
                <w:szCs w:val="36"/>
                <w:lang w:bidi="ar"/>
                <w14:textFill>
                  <w14:solidFill>
                    <w14:schemeClr w14:val="tx1"/>
                  </w14:solidFill>
                </w14:textFill>
              </w:rPr>
              <w:t>管理评分表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332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分项</w:t>
            </w:r>
          </w:p>
        </w:tc>
        <w:tc>
          <w:tcPr>
            <w:tcW w:w="6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文明施工要求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扣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1933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施工围挡</w:t>
            </w:r>
          </w:p>
        </w:tc>
        <w:tc>
          <w:tcPr>
            <w:tcW w:w="6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新开工项目未按规定报送围挡设置方案的，扣5分；    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施工现场未按审批方案和规定设置封闭围挡的，扣 5分；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围挡破损、污染严重的，每处扣 3分；               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进出口及围挡内外侧范围存在明显尘土或垃圾的，扣 3分；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围挡未按要求“隔一设一”张贴公益广告的，每处扣 2分；   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围挡设置商业广告的，每处扣2分。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工程完工后，施工单位未及时拆除施工现场围和其他施工临时设施的，扣5分。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1742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施工场地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现场临时道路</w:t>
            </w:r>
          </w:p>
        </w:tc>
        <w:tc>
          <w:tcPr>
            <w:tcW w:w="6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施工现场主要出入口及临时便道未应硬化处理，扣5分； 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施工临时调流路出现破损、坑洼未及时修复的，扣3分；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施工临时调流路未设置交通导向标识牌的，扣2分。</w:t>
            </w:r>
          </w:p>
        </w:tc>
        <w:tc>
          <w:tcPr>
            <w:tcW w:w="5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1454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材料码放</w:t>
            </w:r>
          </w:p>
        </w:tc>
        <w:tc>
          <w:tcPr>
            <w:tcW w:w="6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建筑材料、构配件、料具未分类整齐堆放的，扣5分； 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未设置材料标识牌的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Cs w:val="21"/>
                <w:lang w:val="en-US" w:bidi="ar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每处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扣2分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5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1748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非道路移动机械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非道路移动机械</w:t>
            </w:r>
          </w:p>
        </w:tc>
        <w:tc>
          <w:tcPr>
            <w:tcW w:w="6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施工现场非道路移动机械应未办理环保编码的，每台扣5分，现场非道路移动机械存在冒黑烟的，每台扣5分。</w:t>
            </w:r>
          </w:p>
        </w:tc>
        <w:tc>
          <w:tcPr>
            <w:tcW w:w="5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1648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施工噪音</w:t>
            </w:r>
          </w:p>
        </w:tc>
        <w:tc>
          <w:tcPr>
            <w:tcW w:w="6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噪声敏感区域违规进行夜间施工的或未办理夜间施工许可的，扣 5 分；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强噪音施工机具未采取有效降噪措施的，扣 5分；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施工边界噪声超过规定要求，导致投诉的，扣5分。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施工现场未采取有效降低光污染措施，导致投诉的，扣5分。</w:t>
            </w:r>
          </w:p>
        </w:tc>
        <w:tc>
          <w:tcPr>
            <w:tcW w:w="5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1377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公示标牌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十牌两图</w:t>
            </w:r>
          </w:p>
        </w:tc>
        <w:tc>
          <w:tcPr>
            <w:tcW w:w="6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未在施工现场大门外侧按规定要求设置“十牌两图”的，扣5分，（工程概况牌、消防保卫牌、安全生产牌、文明施工牌及扬尘污染防治公示牌、管理人员名单及监督电话牌、 入场须知牌、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施工现场管理制度牌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安全生产责任承诺公示牌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施工安全生产举报奖励公示牌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、重大危险源公示牌、施工现场总平面图、工程立面效果图）。</w:t>
            </w:r>
          </w:p>
        </w:tc>
        <w:tc>
          <w:tcPr>
            <w:tcW w:w="5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1316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安全警示牌</w:t>
            </w:r>
          </w:p>
        </w:tc>
        <w:tc>
          <w:tcPr>
            <w:tcW w:w="63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未在主要施工部位、作业层面和危险区域以及主要通道口设置醒目的安全警示标志的，扣5分。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  <w:tc>
          <w:tcPr>
            <w:tcW w:w="523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1144" w:hRule="atLeast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9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扬尘环保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车辆冲洗</w:t>
            </w:r>
          </w:p>
        </w:tc>
        <w:tc>
          <w:tcPr>
            <w:tcW w:w="63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施工现场车辆出入口未设置车辆冲洗设施的，扣5分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未建立车辆进出台账，存在未经冲洗，带泥上路现象的，每车扣5分。</w:t>
            </w:r>
          </w:p>
        </w:tc>
        <w:tc>
          <w:tcPr>
            <w:tcW w:w="523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1441" w:hRule="atLeast"/>
        </w:trPr>
        <w:tc>
          <w:tcPr>
            <w:tcW w:w="6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09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裸土及易起尘物料覆盖</w:t>
            </w:r>
          </w:p>
        </w:tc>
        <w:tc>
          <w:tcPr>
            <w:tcW w:w="637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施工现场裸土未采取防尘网、人工草皮、种植绿植覆盖或进行硬化、固化等处理的，扣5分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裸露3个月及以上施工区域空地未采取种草等绿化方式的，扣5分；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施工现场未使用预拌混凝土及预拌砂浆的，每处扣5分。</w:t>
            </w:r>
          </w:p>
        </w:tc>
        <w:tc>
          <w:tcPr>
            <w:tcW w:w="5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1352" w:hRule="atLeast"/>
        </w:trPr>
        <w:tc>
          <w:tcPr>
            <w:tcW w:w="65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09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渣土运输</w:t>
            </w:r>
          </w:p>
        </w:tc>
        <w:tc>
          <w:tcPr>
            <w:tcW w:w="6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渣土运输未办理处置、准运等核准手续的，扣5分；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进出口处未设置《建筑工地渣土运输扬尘管控公示牌》和限速标志的。扣分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5分；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未使用密闭加盖渣土运输车辆的， 有超载、撒漏现象的，扣5分。</w:t>
            </w:r>
          </w:p>
        </w:tc>
        <w:tc>
          <w:tcPr>
            <w:tcW w:w="5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906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喷淋降尘</w:t>
            </w:r>
          </w:p>
        </w:tc>
        <w:tc>
          <w:tcPr>
            <w:tcW w:w="6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在土（石）方开挖、爆破、回填、整平、运输、卸载、地基处理等施工过程中，未进行湿法作业，现场未采取喷雾、洒水等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湿法作业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措施的，扣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5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1322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扬尘在线监测系统</w:t>
            </w:r>
          </w:p>
        </w:tc>
        <w:tc>
          <w:tcPr>
            <w:tcW w:w="63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施工现场未安装扬尘、噪音在线监测系统，未定期维护保养，确保设备运行、数据传输正常的，扣5分。</w:t>
            </w:r>
          </w:p>
        </w:tc>
        <w:tc>
          <w:tcPr>
            <w:tcW w:w="523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919" w:hRule="atLeast"/>
        </w:trPr>
        <w:tc>
          <w:tcPr>
            <w:tcW w:w="65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09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人员形象</w:t>
            </w:r>
          </w:p>
        </w:tc>
        <w:tc>
          <w:tcPr>
            <w:tcW w:w="637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进入施工现场人员未统一穿戴反光背心、安全帽等个人防护用品，每人扣2分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523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123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交底培训</w:t>
            </w:r>
          </w:p>
        </w:tc>
        <w:tc>
          <w:tcPr>
            <w:tcW w:w="6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未编制扬尘防治、噪音控制等文明施工专项方案的，扣5分；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未对易产生文明施工问题的施工班组进行文明施工专项培训的，扣5分；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晨会未包含文明施工内容的，扣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Cs w:val="21"/>
                <w:lang w:val="en-US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5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923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6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文明施工投诉处理及问题整改不及时的，扣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分。        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13" w:type="dxa"/>
          <w:trHeight w:val="878" w:hRule="atLeast"/>
        </w:trPr>
        <w:tc>
          <w:tcPr>
            <w:tcW w:w="88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总得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1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1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说明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考核内容共20项，共计100分，遇有缺项时，总得分值=(实得分值/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缺项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满分值)×100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widowControl/>
              <w:ind w:firstLine="662" w:firstLineChars="300"/>
              <w:jc w:val="left"/>
              <w:textAlignment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公用场站、管廊工程按照市政工程施工现场文明施工分级管理评分表（附件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）执行。</w:t>
            </w:r>
          </w:p>
        </w:tc>
      </w:tr>
    </w:tbl>
    <w:p>
      <w:pPr>
        <w:spacing w:line="440" w:lineRule="exact"/>
        <w:jc w:val="left"/>
        <w:rPr>
          <w:rFonts w:ascii="仿宋_GB2312" w:hAnsi="仿宋_GB2312" w:eastAsia="仿宋_GB2312" w:cs="仿宋_GB2312"/>
          <w:sz w:val="28"/>
          <w:szCs w:val="28"/>
        </w:rPr>
      </w:pPr>
    </w:p>
    <w:p>
      <w:pPr>
        <w:pStyle w:val="2"/>
      </w:pPr>
    </w:p>
    <w:sectPr>
      <w:footerReference r:id="rId3" w:type="default"/>
      <w:pgSz w:w="11906" w:h="16838"/>
      <w:pgMar w:top="1474" w:right="1984" w:bottom="1587" w:left="209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Genkaimincho">
    <w:panose1 w:val="02000900000000000000"/>
    <w:charset w:val="80"/>
    <w:family w:val="auto"/>
    <w:pitch w:val="default"/>
    <w:sig w:usb0="A00002FF" w:usb1="68C7FEFF" w:usb2="00000012" w:usb3="00000000" w:csb0="0002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686057905"/>
                          </w:sdtPr>
                          <w:sdtContent>
                            <w:p>
                              <w:pPr>
                                <w:pStyle w:val="6"/>
                                <w:jc w:val="center"/>
                              </w:pPr>
                              <w:r>
                                <w:rPr>
                                  <w:sz w:val="28"/>
                                  <w:szCs w:val="44"/>
                                </w:rPr>
                                <w:fldChar w:fldCharType="begin"/>
                              </w:r>
                              <w:r>
                                <w:rPr>
                                  <w:sz w:val="28"/>
                                  <w:szCs w:val="44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sz w:val="28"/>
                                  <w:szCs w:val="44"/>
                                </w:rPr>
                                <w:fldChar w:fldCharType="separate"/>
                              </w:r>
                              <w:r>
                                <w:rPr>
                                  <w:sz w:val="28"/>
                                  <w:szCs w:val="44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sz w:val="28"/>
                                  <w:szCs w:val="4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686057905"/>
                    </w:sdtPr>
                    <w:sdtContent>
                      <w:p>
                        <w:pPr>
                          <w:pStyle w:val="6"/>
                          <w:jc w:val="center"/>
                        </w:pPr>
                        <w:r>
                          <w:rPr>
                            <w:sz w:val="28"/>
                            <w:szCs w:val="44"/>
                          </w:rPr>
                          <w:fldChar w:fldCharType="begin"/>
                        </w:r>
                        <w:r>
                          <w:rPr>
                            <w:sz w:val="28"/>
                            <w:szCs w:val="44"/>
                          </w:rPr>
                          <w:instrText xml:space="preserve">PAGE   \* MERGEFORMAT</w:instrText>
                        </w:r>
                        <w:r>
                          <w:rPr>
                            <w:sz w:val="28"/>
                            <w:szCs w:val="44"/>
                          </w:rPr>
                          <w:fldChar w:fldCharType="separate"/>
                        </w:r>
                        <w:r>
                          <w:rPr>
                            <w:sz w:val="28"/>
                            <w:szCs w:val="44"/>
                            <w:lang w:val="zh-CN"/>
                          </w:rPr>
                          <w:t>2</w:t>
                        </w:r>
                        <w:r>
                          <w:rPr>
                            <w:sz w:val="28"/>
                            <w:szCs w:val="44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  <w:r>
      <w:rPr>
        <w:rFonts w:hint="eastAsia"/>
      </w:rPr>
      <w:t>·</w:t>
    </w:r>
  </w:p>
  <w:p>
    <w:pPr>
      <w:tabs>
        <w:tab w:val="center" w:pos="4153"/>
        <w:tab w:val="right" w:pos="8306"/>
      </w:tabs>
      <w:snapToGrid w:val="0"/>
      <w:jc w:val="left"/>
      <w:rPr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5OTc1MDk4YWZiMjliYTM4ZjJhYWVkOGUzNDQ1ZmEifQ=="/>
  </w:docVars>
  <w:rsids>
    <w:rsidRoot w:val="70DD6B35"/>
    <w:rsid w:val="00123D5F"/>
    <w:rsid w:val="00246D53"/>
    <w:rsid w:val="003F64A2"/>
    <w:rsid w:val="006C74A9"/>
    <w:rsid w:val="00743523"/>
    <w:rsid w:val="00922E71"/>
    <w:rsid w:val="009456B4"/>
    <w:rsid w:val="00BF1A4C"/>
    <w:rsid w:val="041F4121"/>
    <w:rsid w:val="058D623A"/>
    <w:rsid w:val="0628613D"/>
    <w:rsid w:val="065B47C8"/>
    <w:rsid w:val="0F5552E8"/>
    <w:rsid w:val="11E6269D"/>
    <w:rsid w:val="2EEB24C9"/>
    <w:rsid w:val="30600EDA"/>
    <w:rsid w:val="321E5201"/>
    <w:rsid w:val="33121431"/>
    <w:rsid w:val="33452F3E"/>
    <w:rsid w:val="38CD40C7"/>
    <w:rsid w:val="3A615767"/>
    <w:rsid w:val="3BA198BF"/>
    <w:rsid w:val="3DFCFBB6"/>
    <w:rsid w:val="3EBB9C6F"/>
    <w:rsid w:val="3EFB6604"/>
    <w:rsid w:val="495763F6"/>
    <w:rsid w:val="50FE2392"/>
    <w:rsid w:val="53E070EF"/>
    <w:rsid w:val="54FF6BC0"/>
    <w:rsid w:val="57FFC549"/>
    <w:rsid w:val="595FC47F"/>
    <w:rsid w:val="5F5C2D25"/>
    <w:rsid w:val="5F75B9BB"/>
    <w:rsid w:val="61381B7B"/>
    <w:rsid w:val="69024ACD"/>
    <w:rsid w:val="69EBA1C5"/>
    <w:rsid w:val="6FFBCAFD"/>
    <w:rsid w:val="70DD6B35"/>
    <w:rsid w:val="71E918CE"/>
    <w:rsid w:val="73FF567E"/>
    <w:rsid w:val="77772E2D"/>
    <w:rsid w:val="77F6DA43"/>
    <w:rsid w:val="7DBF6D99"/>
    <w:rsid w:val="7EF5626F"/>
    <w:rsid w:val="87EF14D0"/>
    <w:rsid w:val="8F3FEB57"/>
    <w:rsid w:val="AB5F2ACB"/>
    <w:rsid w:val="BFDCCB0E"/>
    <w:rsid w:val="DBBF6F08"/>
    <w:rsid w:val="DDEFF522"/>
    <w:rsid w:val="DFF32BD8"/>
    <w:rsid w:val="DFFDDD8D"/>
    <w:rsid w:val="EFFF246E"/>
    <w:rsid w:val="FEF72DF7"/>
    <w:rsid w:val="FFF39F45"/>
    <w:rsid w:val="FFFFB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before="100" w:beforeAutospacing="1" w:after="100" w:afterAutospacing="1" w:line="480" w:lineRule="auto"/>
      <w:ind w:left="420" w:leftChars="200"/>
    </w:pPr>
    <w:rPr>
      <w:rFonts w:ascii="Times New Roman" w:hAnsi="Times New Roman" w:eastAsia="宋体"/>
      <w:szCs w:val="21"/>
    </w:rPr>
  </w:style>
  <w:style w:type="paragraph" w:styleId="3">
    <w:name w:val="Normal Indent"/>
    <w:basedOn w:val="1"/>
    <w:qFormat/>
    <w:uiPriority w:val="99"/>
    <w:pPr>
      <w:spacing w:line="300" w:lineRule="auto"/>
      <w:ind w:firstLine="556"/>
    </w:pPr>
    <w:rPr>
      <w:rFonts w:ascii="仿宋_GB2312" w:hAnsi="Times New Roman" w:eastAsia="仿宋_GB2312" w:cs="仿宋_GB2312"/>
    </w:rPr>
  </w:style>
  <w:style w:type="paragraph" w:styleId="4">
    <w:name w:val="Body Text Indent"/>
    <w:basedOn w:val="1"/>
    <w:next w:val="5"/>
    <w:qFormat/>
    <w:uiPriority w:val="0"/>
    <w:pPr>
      <w:ind w:firstLine="630"/>
    </w:pPr>
  </w:style>
  <w:style w:type="paragraph" w:styleId="5">
    <w:name w:val="header"/>
    <w:basedOn w:val="1"/>
    <w:next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link w:val="12"/>
    <w:qFormat/>
    <w:uiPriority w:val="0"/>
    <w:pPr>
      <w:spacing w:after="120"/>
      <w:ind w:left="420" w:leftChars="200" w:firstLine="42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样式1"/>
    <w:basedOn w:val="1"/>
    <w:qFormat/>
    <w:uiPriority w:val="0"/>
    <w:pPr>
      <w:ind w:firstLine="640" w:firstLineChars="200"/>
      <w:jc w:val="left"/>
    </w:pPr>
    <w:rPr>
      <w:rFonts w:hint="eastAsia" w:ascii="仿宋" w:hAnsi="仿宋" w:eastAsia="仿宋" w:cs="仿宋"/>
      <w:sz w:val="28"/>
      <w:szCs w:val="28"/>
    </w:rPr>
  </w:style>
  <w:style w:type="character" w:customStyle="1" w:styleId="12">
    <w:name w:val="正文文本首行缩进 2 字符"/>
    <w:link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294</Words>
  <Characters>1680</Characters>
  <Lines>14</Lines>
  <Paragraphs>3</Paragraphs>
  <TotalTime>1</TotalTime>
  <ScaleCrop>false</ScaleCrop>
  <LinksUpToDate>false</LinksUpToDate>
  <CharactersWithSpaces>1971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2024-03-23T20:44:00Z</dcterms:created>
  <dc:creator>等吧！</dc:creator>
  <cp:lastModifiedBy>huawei</cp:lastModifiedBy>
  <dcterms:modified xsi:type="dcterms:W3CDTF">2024-03-28T15:37:43Z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ICV">
    <vt:lpwstr>94DE98DC7942F85FBFB20366AF6A6BEA</vt:lpwstr>
  </property>
</Properties>
</file>