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4"/>
        <w:tblW w:w="11324" w:type="dxa"/>
        <w:tblInd w:w="-73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56"/>
        <w:gridCol w:w="1096"/>
        <w:gridCol w:w="782"/>
        <w:gridCol w:w="6355"/>
        <w:gridCol w:w="626"/>
        <w:gridCol w:w="655"/>
        <w:gridCol w:w="11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1324" w:type="dxa"/>
            <w:gridSpan w:val="7"/>
            <w:tcBorders>
              <w:top w:val="nil"/>
              <w:left w:val="nil"/>
              <w:bottom w:val="nil"/>
              <w:right w:val="nil"/>
            </w:tcBorders>
            <w:shd w:val="clear" w:color="auto" w:fill="auto"/>
            <w:noWrap/>
            <w:vAlign w:val="center"/>
          </w:tcPr>
          <w:p>
            <w:pPr>
              <w:widowControl/>
              <w:spacing w:line="560" w:lineRule="exact"/>
              <w:rPr>
                <w:rFonts w:hint="default" w:ascii="仿宋_GB2312" w:eastAsia="仿宋_GB2312" w:cs="仿宋_GB2312"/>
                <w:kern w:val="0"/>
                <w:sz w:val="32"/>
                <w:szCs w:val="32"/>
                <w:lang w:val="en-US" w:eastAsia="zh-CN"/>
              </w:rPr>
            </w:pPr>
            <w:r>
              <w:rPr>
                <w:rFonts w:hint="eastAsia" w:ascii="仿宋_GB2312" w:eastAsia="仿宋_GB2312" w:cs="仿宋_GB2312"/>
                <w:kern w:val="0"/>
                <w:sz w:val="32"/>
                <w:szCs w:val="32"/>
              </w:rPr>
              <w:t>附件</w:t>
            </w:r>
            <w:r>
              <w:rPr>
                <w:rFonts w:hint="eastAsia" w:ascii="仿宋_GB2312" w:eastAsia="仿宋_GB2312" w:cs="仿宋_GB2312"/>
                <w:kern w:val="0"/>
                <w:sz w:val="32"/>
                <w:szCs w:val="32"/>
                <w:lang w:val="en-US" w:eastAsia="zh-CN"/>
              </w:rPr>
              <w:t>3：</w:t>
            </w:r>
          </w:p>
          <w:p>
            <w:pPr>
              <w:widowControl/>
              <w:ind w:firstLine="1445" w:firstLineChars="400"/>
              <w:jc w:val="both"/>
              <w:textAlignment w:val="center"/>
              <w:rPr>
                <w:rFonts w:ascii="宋体" w:cs="宋体"/>
                <w:b/>
                <w:bCs/>
                <w:sz w:val="36"/>
                <w:szCs w:val="36"/>
              </w:rPr>
            </w:pPr>
            <w:r>
              <w:rPr>
                <w:rFonts w:hint="eastAsia" w:ascii="宋体" w:cs="宋体"/>
                <w:b/>
                <w:bCs/>
                <w:kern w:val="0"/>
                <w:sz w:val="36"/>
                <w:szCs w:val="36"/>
                <w:lang w:eastAsia="zh-CN"/>
              </w:rPr>
              <w:t>轨道交通工程</w:t>
            </w:r>
            <w:r>
              <w:rPr>
                <w:rFonts w:hint="eastAsia" w:ascii="宋体" w:cs="宋体"/>
                <w:b/>
                <w:bCs/>
                <w:kern w:val="0"/>
                <w:sz w:val="36"/>
                <w:szCs w:val="36"/>
              </w:rPr>
              <w:t>施工现场文明施工</w:t>
            </w:r>
            <w:r>
              <w:rPr>
                <w:rFonts w:hint="eastAsia" w:ascii="宋体" w:cs="宋体"/>
                <w:b/>
                <w:bCs/>
                <w:kern w:val="0"/>
                <w:sz w:val="36"/>
                <w:szCs w:val="36"/>
                <w:lang w:eastAsia="zh-CN"/>
              </w:rPr>
              <w:t>分级</w:t>
            </w:r>
            <w:r>
              <w:rPr>
                <w:rFonts w:hint="eastAsia" w:ascii="宋体" w:cs="宋体"/>
                <w:b/>
                <w:bCs/>
                <w:kern w:val="0"/>
                <w:sz w:val="36"/>
                <w:szCs w:val="36"/>
              </w:rPr>
              <w:t>管理评分表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54" w:type="dxa"/>
          <w:trHeight w:val="332"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cs="宋体"/>
                <w:sz w:val="22"/>
                <w:szCs w:val="22"/>
              </w:rPr>
            </w:pPr>
            <w:r>
              <w:rPr>
                <w:rFonts w:hint="eastAsia" w:ascii="宋体" w:cs="宋体"/>
                <w:kern w:val="0"/>
                <w:sz w:val="22"/>
                <w:szCs w:val="22"/>
              </w:rPr>
              <w:t>序号</w:t>
            </w:r>
          </w:p>
        </w:tc>
        <w:tc>
          <w:tcPr>
            <w:tcW w:w="1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cs="宋体"/>
                <w:sz w:val="22"/>
                <w:szCs w:val="22"/>
              </w:rPr>
            </w:pPr>
            <w:r>
              <w:rPr>
                <w:rFonts w:hint="eastAsia" w:ascii="宋体" w:cs="宋体"/>
                <w:kern w:val="0"/>
                <w:sz w:val="22"/>
                <w:szCs w:val="22"/>
              </w:rPr>
              <w:t>项目</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cs="宋体"/>
                <w:sz w:val="22"/>
                <w:szCs w:val="22"/>
              </w:rPr>
            </w:pPr>
            <w:r>
              <w:rPr>
                <w:rFonts w:hint="eastAsia" w:ascii="宋体" w:cs="宋体"/>
                <w:kern w:val="0"/>
                <w:sz w:val="22"/>
                <w:szCs w:val="22"/>
              </w:rPr>
              <w:t>分项</w:t>
            </w:r>
          </w:p>
        </w:tc>
        <w:tc>
          <w:tcPr>
            <w:tcW w:w="6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cs="宋体"/>
                <w:sz w:val="22"/>
                <w:szCs w:val="22"/>
              </w:rPr>
            </w:pPr>
            <w:r>
              <w:rPr>
                <w:rFonts w:hint="eastAsia" w:ascii="宋体" w:cs="宋体"/>
                <w:kern w:val="0"/>
                <w:sz w:val="22"/>
                <w:szCs w:val="22"/>
              </w:rPr>
              <w:t>文明施工要求</w:t>
            </w:r>
          </w:p>
        </w:tc>
        <w:tc>
          <w:tcPr>
            <w:tcW w:w="626"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cs="宋体"/>
                <w:sz w:val="22"/>
                <w:szCs w:val="22"/>
              </w:rPr>
            </w:pPr>
            <w:r>
              <w:rPr>
                <w:rFonts w:hint="eastAsia" w:ascii="宋体" w:cs="宋体"/>
                <w:kern w:val="0"/>
                <w:sz w:val="22"/>
                <w:szCs w:val="22"/>
              </w:rPr>
              <w:t>分值</w:t>
            </w:r>
          </w:p>
        </w:tc>
        <w:tc>
          <w:tcPr>
            <w:tcW w:w="655"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cs="宋体"/>
                <w:sz w:val="22"/>
                <w:szCs w:val="22"/>
              </w:rPr>
            </w:pPr>
            <w:r>
              <w:rPr>
                <w:rFonts w:hint="eastAsia" w:ascii="宋体" w:cs="宋体"/>
                <w:kern w:val="0"/>
                <w:sz w:val="22"/>
                <w:szCs w:val="22"/>
                <w:lang w:eastAsia="zh-CN"/>
              </w:rPr>
              <w:t>扣</w:t>
            </w:r>
            <w:r>
              <w:rPr>
                <w:rFonts w:hint="eastAsia" w:ascii="宋体" w:cs="宋体"/>
                <w:kern w:val="0"/>
                <w:sz w:val="22"/>
                <w:szCs w:val="22"/>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54" w:type="dxa"/>
          <w:trHeight w:val="1524"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cs="宋体"/>
                <w:sz w:val="22"/>
                <w:szCs w:val="22"/>
              </w:rPr>
            </w:pPr>
            <w:r>
              <w:rPr>
                <w:rFonts w:hint="eastAsia" w:ascii="宋体" w:cs="宋体"/>
                <w:kern w:val="0"/>
                <w:sz w:val="22"/>
                <w:szCs w:val="22"/>
              </w:rPr>
              <w:t>1</w:t>
            </w:r>
          </w:p>
        </w:tc>
        <w:tc>
          <w:tcPr>
            <w:tcW w:w="109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cs="宋体"/>
                <w:sz w:val="22"/>
                <w:szCs w:val="22"/>
              </w:rPr>
            </w:pPr>
            <w:r>
              <w:rPr>
                <w:rFonts w:hint="eastAsia" w:ascii="宋体" w:cs="宋体"/>
                <w:kern w:val="0"/>
                <w:sz w:val="22"/>
                <w:szCs w:val="22"/>
              </w:rPr>
              <w:t>封闭管理</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cs="宋体"/>
                <w:sz w:val="22"/>
                <w:szCs w:val="22"/>
              </w:rPr>
            </w:pPr>
            <w:r>
              <w:rPr>
                <w:rFonts w:hint="eastAsia" w:ascii="宋体" w:cs="宋体"/>
                <w:kern w:val="0"/>
                <w:sz w:val="22"/>
                <w:szCs w:val="22"/>
              </w:rPr>
              <w:t>工地大门</w:t>
            </w:r>
          </w:p>
        </w:tc>
        <w:tc>
          <w:tcPr>
            <w:tcW w:w="63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textAlignment w:val="center"/>
              <w:rPr>
                <w:rFonts w:ascii="宋体" w:cs="宋体"/>
                <w:kern w:val="0"/>
                <w:szCs w:val="21"/>
              </w:rPr>
            </w:pPr>
            <w:r>
              <w:rPr>
                <w:rFonts w:hint="eastAsia" w:ascii="宋体" w:cs="宋体"/>
                <w:kern w:val="0"/>
                <w:szCs w:val="21"/>
              </w:rPr>
              <w:t>施工现场未按规定（标准化图集）要求设置出入口大门的，扣</w:t>
            </w:r>
            <w:r>
              <w:rPr>
                <w:rFonts w:hint="eastAsia" w:ascii="宋体" w:cs="宋体"/>
                <w:kern w:val="0"/>
                <w:szCs w:val="21"/>
                <w:lang w:val="en-US" w:eastAsia="zh-CN"/>
              </w:rPr>
              <w:t>5</w:t>
            </w:r>
            <w:r>
              <w:rPr>
                <w:rFonts w:hint="eastAsia" w:ascii="宋体" w:cs="宋体"/>
                <w:kern w:val="0"/>
                <w:szCs w:val="21"/>
              </w:rPr>
              <w:t>分；</w:t>
            </w:r>
          </w:p>
          <w:p>
            <w:pPr>
              <w:widowControl/>
              <w:spacing w:line="240" w:lineRule="exact"/>
              <w:textAlignment w:val="center"/>
              <w:rPr>
                <w:rFonts w:ascii="宋体" w:cs="宋体"/>
                <w:kern w:val="0"/>
                <w:szCs w:val="21"/>
              </w:rPr>
            </w:pPr>
            <w:r>
              <w:rPr>
                <w:rFonts w:hint="eastAsia" w:ascii="宋体" w:cs="宋体"/>
                <w:kern w:val="0"/>
                <w:szCs w:val="21"/>
              </w:rPr>
              <w:t>大门口未硬化或铺设钢板的，扣</w:t>
            </w:r>
            <w:r>
              <w:rPr>
                <w:rFonts w:hint="eastAsia" w:ascii="宋体" w:cs="宋体"/>
                <w:kern w:val="0"/>
                <w:szCs w:val="21"/>
                <w:lang w:val="en-US" w:eastAsia="zh-CN"/>
              </w:rPr>
              <w:t>5</w:t>
            </w:r>
            <w:r>
              <w:rPr>
                <w:rFonts w:hint="eastAsia" w:ascii="宋体" w:cs="宋体"/>
                <w:kern w:val="0"/>
                <w:szCs w:val="21"/>
              </w:rPr>
              <w:t>分；</w:t>
            </w:r>
          </w:p>
          <w:p>
            <w:pPr>
              <w:widowControl/>
              <w:spacing w:line="240" w:lineRule="exact"/>
              <w:textAlignment w:val="center"/>
              <w:rPr>
                <w:rFonts w:ascii="宋体" w:cs="宋体"/>
                <w:kern w:val="0"/>
                <w:szCs w:val="21"/>
              </w:rPr>
            </w:pPr>
            <w:r>
              <w:rPr>
                <w:rFonts w:hint="eastAsia" w:ascii="宋体" w:cs="宋体"/>
                <w:kern w:val="0"/>
                <w:szCs w:val="21"/>
              </w:rPr>
              <w:t>大门口未设置施工单位标识及项目名称的扣2分</w:t>
            </w:r>
            <w:r>
              <w:rPr>
                <w:rFonts w:ascii="宋体" w:cs="宋体"/>
                <w:kern w:val="0"/>
                <w:szCs w:val="21"/>
              </w:rPr>
              <w:t>。</w:t>
            </w:r>
          </w:p>
        </w:tc>
        <w:tc>
          <w:tcPr>
            <w:tcW w:w="626" w:type="dxa"/>
            <w:vMerge w:val="restart"/>
            <w:tcBorders>
              <w:top w:val="single" w:color="000000" w:sz="4" w:space="0"/>
              <w:left w:val="single" w:color="000000" w:sz="4" w:space="0"/>
              <w:right w:val="single" w:color="000000" w:sz="4" w:space="0"/>
            </w:tcBorders>
            <w:shd w:val="clear" w:color="auto" w:fill="auto"/>
            <w:noWrap/>
            <w:vAlign w:val="center"/>
          </w:tcPr>
          <w:p>
            <w:pPr>
              <w:widowControl/>
              <w:jc w:val="center"/>
              <w:textAlignment w:val="center"/>
              <w:rPr>
                <w:rFonts w:hint="default" w:ascii="宋体" w:eastAsia="宋体" w:cs="宋体"/>
                <w:sz w:val="22"/>
                <w:szCs w:val="22"/>
                <w:lang w:val="en-US" w:eastAsia="zh-CN"/>
              </w:rPr>
            </w:pPr>
            <w:r>
              <w:rPr>
                <w:rFonts w:hint="eastAsia" w:ascii="宋体" w:cs="宋体"/>
                <w:sz w:val="22"/>
                <w:szCs w:val="22"/>
                <w:lang w:val="en-US" w:eastAsia="zh-CN"/>
              </w:rPr>
              <w:t>15</w:t>
            </w:r>
          </w:p>
        </w:tc>
        <w:tc>
          <w:tcPr>
            <w:tcW w:w="655" w:type="dxa"/>
            <w:vMerge w:val="restart"/>
            <w:tcBorders>
              <w:top w:val="single" w:color="000000" w:sz="4" w:space="0"/>
              <w:left w:val="single" w:color="000000" w:sz="4" w:space="0"/>
              <w:right w:val="single" w:color="000000" w:sz="4" w:space="0"/>
            </w:tcBorders>
            <w:shd w:val="clear" w:color="auto" w:fill="auto"/>
            <w:noWrap/>
            <w:vAlign w:val="center"/>
          </w:tcPr>
          <w:p>
            <w:pPr>
              <w:rPr>
                <w:rFonts w:ascii="宋体" w:cs="宋体"/>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54" w:type="dxa"/>
          <w:trHeight w:val="2039"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cs="宋体"/>
                <w:sz w:val="22"/>
                <w:szCs w:val="22"/>
              </w:rPr>
            </w:pPr>
            <w:r>
              <w:rPr>
                <w:rFonts w:hint="eastAsia" w:ascii="宋体" w:cs="宋体"/>
                <w:sz w:val="22"/>
                <w:szCs w:val="22"/>
              </w:rPr>
              <w:t>2</w:t>
            </w:r>
          </w:p>
        </w:tc>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cs="宋体"/>
                <w:sz w:val="22"/>
                <w:szCs w:val="22"/>
              </w:rPr>
            </w:pPr>
            <w:r>
              <w:rPr>
                <w:rFonts w:hint="eastAsia" w:ascii="宋体" w:cs="宋体"/>
                <w:kern w:val="0"/>
                <w:sz w:val="22"/>
                <w:szCs w:val="22"/>
              </w:rPr>
              <w:t>施工围挡</w:t>
            </w:r>
          </w:p>
        </w:tc>
        <w:tc>
          <w:tcPr>
            <w:tcW w:w="63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textAlignment w:val="center"/>
              <w:rPr>
                <w:rFonts w:hint="eastAsia" w:ascii="宋体" w:cs="宋体"/>
                <w:kern w:val="0"/>
                <w:szCs w:val="21"/>
              </w:rPr>
            </w:pPr>
            <w:r>
              <w:rPr>
                <w:rFonts w:hint="eastAsia" w:ascii="宋体" w:cs="宋体"/>
                <w:kern w:val="0"/>
                <w:szCs w:val="21"/>
              </w:rPr>
              <w:t xml:space="preserve">新开工项目未按规定报送围挡设置方案的，扣5分；        </w:t>
            </w:r>
          </w:p>
          <w:p>
            <w:pPr>
              <w:widowControl/>
              <w:spacing w:line="240" w:lineRule="exact"/>
              <w:textAlignment w:val="center"/>
              <w:rPr>
                <w:rFonts w:ascii="宋体" w:cs="宋体"/>
                <w:kern w:val="0"/>
                <w:szCs w:val="21"/>
              </w:rPr>
            </w:pPr>
            <w:r>
              <w:rPr>
                <w:rFonts w:hint="eastAsia" w:ascii="宋体" w:cs="宋体"/>
                <w:kern w:val="0"/>
                <w:szCs w:val="21"/>
              </w:rPr>
              <w:t xml:space="preserve">施工现场未按审批方案和规定设置封闭围挡的，扣 5分；   </w:t>
            </w:r>
          </w:p>
          <w:p>
            <w:pPr>
              <w:widowControl/>
              <w:spacing w:line="240" w:lineRule="exact"/>
              <w:textAlignment w:val="center"/>
              <w:rPr>
                <w:rFonts w:ascii="宋体" w:cs="宋体"/>
                <w:kern w:val="0"/>
                <w:szCs w:val="21"/>
              </w:rPr>
            </w:pPr>
            <w:r>
              <w:rPr>
                <w:rFonts w:hint="eastAsia" w:ascii="宋体" w:cs="宋体"/>
                <w:kern w:val="0"/>
                <w:szCs w:val="21"/>
              </w:rPr>
              <w:t>工程完工后，施工单位未及时拆除施工现场围挡和其他施工临时设施的，扣5分</w:t>
            </w:r>
            <w:r>
              <w:rPr>
                <w:rFonts w:ascii="宋体" w:cs="宋体"/>
                <w:kern w:val="0"/>
                <w:szCs w:val="21"/>
              </w:rPr>
              <w:t>；</w:t>
            </w:r>
          </w:p>
          <w:p>
            <w:pPr>
              <w:widowControl/>
              <w:spacing w:line="240" w:lineRule="exact"/>
              <w:textAlignment w:val="center"/>
              <w:rPr>
                <w:rFonts w:hint="eastAsia" w:ascii="宋体" w:cs="宋体"/>
                <w:kern w:val="0"/>
                <w:szCs w:val="21"/>
              </w:rPr>
            </w:pPr>
            <w:r>
              <w:rPr>
                <w:rFonts w:hint="eastAsia" w:ascii="宋体" w:cs="宋体"/>
                <w:kern w:val="0"/>
                <w:szCs w:val="21"/>
              </w:rPr>
              <w:t xml:space="preserve">围挡破损、污染严重的，每处扣 3分；                   </w:t>
            </w:r>
          </w:p>
          <w:p>
            <w:pPr>
              <w:widowControl/>
              <w:spacing w:line="240" w:lineRule="exact"/>
              <w:textAlignment w:val="center"/>
              <w:rPr>
                <w:rFonts w:ascii="宋体" w:cs="宋体"/>
                <w:kern w:val="0"/>
                <w:szCs w:val="21"/>
              </w:rPr>
            </w:pPr>
            <w:r>
              <w:rPr>
                <w:rFonts w:hint="eastAsia" w:ascii="宋体" w:cs="宋体"/>
                <w:kern w:val="0"/>
                <w:szCs w:val="21"/>
              </w:rPr>
              <w:t>进出口及围挡内外侧范围存在明显尘土或垃圾的，扣 3分；</w:t>
            </w:r>
          </w:p>
          <w:p>
            <w:pPr>
              <w:widowControl/>
              <w:spacing w:line="240" w:lineRule="exact"/>
              <w:textAlignment w:val="center"/>
              <w:rPr>
                <w:rFonts w:hint="eastAsia" w:ascii="宋体" w:cs="宋体"/>
                <w:kern w:val="0"/>
                <w:szCs w:val="21"/>
              </w:rPr>
            </w:pPr>
            <w:r>
              <w:rPr>
                <w:rFonts w:hint="eastAsia" w:ascii="宋体" w:cs="宋体"/>
                <w:kern w:val="0"/>
                <w:szCs w:val="21"/>
              </w:rPr>
              <w:t xml:space="preserve">围挡未按要求“隔一设一”张贴公益广告，每处扣 2分；       </w:t>
            </w:r>
          </w:p>
          <w:p>
            <w:pPr>
              <w:widowControl/>
              <w:spacing w:line="240" w:lineRule="exact"/>
              <w:textAlignment w:val="center"/>
              <w:rPr>
                <w:rFonts w:ascii="宋体" w:cs="宋体"/>
                <w:kern w:val="0"/>
                <w:szCs w:val="21"/>
              </w:rPr>
            </w:pPr>
            <w:r>
              <w:rPr>
                <w:rFonts w:hint="eastAsia" w:ascii="宋体" w:cs="宋体"/>
                <w:kern w:val="0"/>
                <w:szCs w:val="21"/>
              </w:rPr>
              <w:t>围挡设置商业广告的，每处扣2分。</w:t>
            </w:r>
          </w:p>
        </w:tc>
        <w:tc>
          <w:tcPr>
            <w:tcW w:w="626" w:type="dxa"/>
            <w:vMerge w:val="continue"/>
            <w:tcBorders>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cs="宋体"/>
                <w:sz w:val="22"/>
                <w:szCs w:val="22"/>
              </w:rPr>
            </w:pPr>
          </w:p>
        </w:tc>
        <w:tc>
          <w:tcPr>
            <w:tcW w:w="655" w:type="dxa"/>
            <w:vMerge w:val="continue"/>
            <w:tcBorders>
              <w:left w:val="single" w:color="000000" w:sz="4" w:space="0"/>
              <w:bottom w:val="single" w:color="000000" w:sz="4" w:space="0"/>
              <w:right w:val="single" w:color="000000" w:sz="4" w:space="0"/>
            </w:tcBorders>
            <w:shd w:val="clear" w:color="auto" w:fill="auto"/>
            <w:noWrap/>
            <w:vAlign w:val="center"/>
          </w:tcPr>
          <w:p>
            <w:pPr>
              <w:jc w:val="center"/>
              <w:rPr>
                <w:rFonts w:ascii="宋体" w:cs="宋体"/>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54" w:type="dxa"/>
          <w:trHeight w:val="215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eastAsia="宋体" w:cs="宋体"/>
                <w:sz w:val="22"/>
                <w:szCs w:val="22"/>
                <w:lang w:eastAsia="zh-CN"/>
              </w:rPr>
            </w:pPr>
            <w:r>
              <w:rPr>
                <w:rFonts w:hint="eastAsia" w:ascii="宋体" w:cs="宋体"/>
                <w:kern w:val="0"/>
                <w:sz w:val="22"/>
                <w:szCs w:val="22"/>
                <w:lang w:val="en-US" w:eastAsia="zh-CN"/>
              </w:rPr>
              <w:t>3</w:t>
            </w:r>
          </w:p>
        </w:tc>
        <w:tc>
          <w:tcPr>
            <w:tcW w:w="109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cs="宋体"/>
                <w:sz w:val="22"/>
                <w:szCs w:val="22"/>
              </w:rPr>
            </w:pPr>
            <w:r>
              <w:rPr>
                <w:rFonts w:hint="eastAsia" w:ascii="宋体" w:cs="宋体"/>
                <w:kern w:val="0"/>
                <w:sz w:val="22"/>
                <w:szCs w:val="22"/>
              </w:rPr>
              <w:t>施工场地</w:t>
            </w:r>
          </w:p>
        </w:tc>
        <w:tc>
          <w:tcPr>
            <w:tcW w:w="782" w:type="dxa"/>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cs="宋体"/>
                <w:sz w:val="22"/>
                <w:szCs w:val="22"/>
              </w:rPr>
            </w:pPr>
            <w:r>
              <w:rPr>
                <w:rFonts w:hint="eastAsia" w:ascii="宋体" w:cs="宋体"/>
                <w:kern w:val="0"/>
                <w:sz w:val="22"/>
                <w:szCs w:val="22"/>
              </w:rPr>
              <w:t>现场临时道路</w:t>
            </w:r>
            <w:r>
              <w:rPr>
                <w:rFonts w:hint="eastAsia" w:ascii="宋体" w:cs="宋体"/>
                <w:kern w:val="0"/>
                <w:sz w:val="22"/>
                <w:szCs w:val="22"/>
                <w:lang w:eastAsia="zh-CN"/>
              </w:rPr>
              <w:t>及排水</w:t>
            </w:r>
          </w:p>
        </w:tc>
        <w:tc>
          <w:tcPr>
            <w:tcW w:w="6355" w:type="dxa"/>
            <w:tcBorders>
              <w:top w:val="single" w:color="000000" w:sz="4" w:space="0"/>
              <w:left w:val="single" w:color="000000" w:sz="4" w:space="0"/>
              <w:right w:val="single" w:color="000000" w:sz="4" w:space="0"/>
            </w:tcBorders>
            <w:shd w:val="clear" w:color="auto" w:fill="auto"/>
            <w:vAlign w:val="center"/>
          </w:tcPr>
          <w:p>
            <w:pPr>
              <w:widowControl/>
              <w:spacing w:line="240" w:lineRule="exact"/>
              <w:textAlignment w:val="center"/>
              <w:rPr>
                <w:rFonts w:ascii="宋体" w:cs="宋体"/>
                <w:kern w:val="0"/>
                <w:szCs w:val="21"/>
              </w:rPr>
            </w:pPr>
            <w:r>
              <w:rPr>
                <w:rFonts w:hint="eastAsia" w:ascii="宋体" w:cs="宋体"/>
                <w:kern w:val="0"/>
                <w:szCs w:val="21"/>
              </w:rPr>
              <w:t xml:space="preserve">施工现场主要出入口及临时便道未硬化处理，扣5分； </w:t>
            </w:r>
          </w:p>
          <w:p>
            <w:pPr>
              <w:widowControl/>
              <w:spacing w:line="240" w:lineRule="exact"/>
              <w:textAlignment w:val="center"/>
              <w:rPr>
                <w:rFonts w:ascii="宋体" w:cs="宋体"/>
                <w:kern w:val="0"/>
                <w:szCs w:val="21"/>
              </w:rPr>
            </w:pPr>
            <w:r>
              <w:rPr>
                <w:rFonts w:hint="eastAsia" w:ascii="宋体" w:cs="宋体"/>
                <w:kern w:val="0"/>
                <w:szCs w:val="21"/>
              </w:rPr>
              <w:t>施工临时调流路出现破损、坑洼未及时修复，扣3分；</w:t>
            </w:r>
          </w:p>
          <w:p>
            <w:pPr>
              <w:widowControl/>
              <w:spacing w:line="240" w:lineRule="exact"/>
              <w:textAlignment w:val="center"/>
              <w:rPr>
                <w:rFonts w:hint="eastAsia" w:ascii="宋体" w:cs="宋体"/>
                <w:kern w:val="0"/>
                <w:szCs w:val="21"/>
              </w:rPr>
            </w:pPr>
            <w:r>
              <w:rPr>
                <w:rFonts w:hint="eastAsia" w:ascii="宋体" w:cs="宋体"/>
                <w:kern w:val="0"/>
                <w:szCs w:val="21"/>
              </w:rPr>
              <w:t>设置的钢板翘曲、变形、空洞等影响通行或造成信访舆情的，扣3分；</w:t>
            </w:r>
          </w:p>
          <w:p>
            <w:pPr>
              <w:widowControl/>
              <w:spacing w:line="240" w:lineRule="exact"/>
              <w:textAlignment w:val="center"/>
              <w:rPr>
                <w:rFonts w:hint="eastAsia" w:ascii="宋体" w:eastAsia="宋体" w:cs="宋体"/>
                <w:kern w:val="0"/>
                <w:szCs w:val="21"/>
                <w:lang w:eastAsia="zh-CN"/>
              </w:rPr>
            </w:pPr>
            <w:r>
              <w:rPr>
                <w:rFonts w:hint="eastAsia" w:ascii="宋体" w:cs="宋体"/>
                <w:kern w:val="0"/>
                <w:szCs w:val="21"/>
              </w:rPr>
              <w:t>施工临时调流路未设置联系人信息牌、交通导向标识牌或警示标识的，扣3</w:t>
            </w:r>
            <w:r>
              <w:rPr>
                <w:rFonts w:hint="eastAsia" w:ascii="宋体" w:cs="宋体"/>
                <w:kern w:val="0"/>
                <w:szCs w:val="21"/>
                <w:lang w:val="en-US" w:eastAsia="zh-CN"/>
              </w:rPr>
              <w:t>;</w:t>
            </w:r>
          </w:p>
          <w:p>
            <w:pPr>
              <w:widowControl/>
              <w:spacing w:line="240" w:lineRule="exact"/>
              <w:textAlignment w:val="center"/>
              <w:rPr>
                <w:rFonts w:hint="eastAsia" w:ascii="宋体" w:cs="宋体"/>
                <w:kern w:val="0"/>
                <w:szCs w:val="21"/>
              </w:rPr>
            </w:pPr>
            <w:r>
              <w:rPr>
                <w:rFonts w:hint="eastAsia" w:ascii="宋体" w:cs="宋体"/>
                <w:kern w:val="0"/>
                <w:szCs w:val="21"/>
              </w:rPr>
              <w:t>施工临时便道或临时调流路排水不流畅、存在积水的，扣3分；</w:t>
            </w:r>
          </w:p>
          <w:p>
            <w:pPr>
              <w:widowControl/>
              <w:spacing w:line="240" w:lineRule="exact"/>
              <w:textAlignment w:val="center"/>
              <w:rPr>
                <w:rFonts w:hint="eastAsia" w:ascii="宋体" w:cs="宋体"/>
                <w:kern w:val="0"/>
                <w:szCs w:val="21"/>
              </w:rPr>
            </w:pPr>
            <w:r>
              <w:rPr>
                <w:rFonts w:hint="eastAsia" w:ascii="宋体" w:cs="宋体"/>
                <w:kern w:val="0"/>
                <w:szCs w:val="21"/>
              </w:rPr>
              <w:t>施工降排水、现场污水、泥浆未经沉淀处理达标，随意排放或接入市政雨水管网的，扣3分。</w:t>
            </w:r>
          </w:p>
        </w:tc>
        <w:tc>
          <w:tcPr>
            <w:tcW w:w="626" w:type="dxa"/>
            <w:vMerge w:val="restart"/>
            <w:tcBorders>
              <w:top w:val="single" w:color="000000" w:sz="4" w:space="0"/>
              <w:left w:val="single" w:color="000000" w:sz="4" w:space="0"/>
              <w:right w:val="single" w:color="000000" w:sz="4" w:space="0"/>
            </w:tcBorders>
            <w:shd w:val="clear" w:color="auto" w:fill="auto"/>
            <w:noWrap/>
            <w:vAlign w:val="center"/>
          </w:tcPr>
          <w:p>
            <w:pPr>
              <w:widowControl/>
              <w:jc w:val="center"/>
              <w:textAlignment w:val="center"/>
              <w:rPr>
                <w:rFonts w:hint="default" w:ascii="宋体" w:cs="宋体"/>
                <w:kern w:val="0"/>
                <w:sz w:val="22"/>
                <w:szCs w:val="22"/>
                <w:lang w:val="en-US"/>
              </w:rPr>
            </w:pPr>
            <w:r>
              <w:rPr>
                <w:rFonts w:hint="eastAsia" w:ascii="宋体" w:cs="宋体"/>
                <w:kern w:val="0"/>
                <w:sz w:val="22"/>
                <w:szCs w:val="22"/>
                <w:lang w:val="en-US" w:eastAsia="zh-CN"/>
              </w:rPr>
              <w:t>22</w:t>
            </w:r>
          </w:p>
        </w:tc>
        <w:tc>
          <w:tcPr>
            <w:tcW w:w="655" w:type="dxa"/>
            <w:vMerge w:val="restart"/>
            <w:tcBorders>
              <w:top w:val="single" w:color="000000" w:sz="4" w:space="0"/>
              <w:left w:val="single" w:color="000000" w:sz="4" w:space="0"/>
              <w:right w:val="single" w:color="000000" w:sz="4" w:space="0"/>
            </w:tcBorders>
            <w:shd w:val="clear" w:color="auto" w:fill="auto"/>
            <w:noWrap/>
            <w:vAlign w:val="center"/>
          </w:tcPr>
          <w:p>
            <w:pPr>
              <w:rPr>
                <w:rFonts w:ascii="宋体" w:cs="宋体"/>
                <w:sz w:val="22"/>
                <w:szCs w:val="22"/>
              </w:rPr>
            </w:pPr>
          </w:p>
          <w:p/>
          <w:p/>
          <w:p/>
          <w:p/>
          <w:p/>
          <w:p>
            <w:pPr>
              <w:ind w:firstLine="376"/>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54" w:type="dxa"/>
          <w:trHeight w:val="2075"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eastAsia="宋体" w:cs="宋体"/>
                <w:sz w:val="22"/>
                <w:szCs w:val="22"/>
                <w:lang w:eastAsia="zh-CN"/>
              </w:rPr>
            </w:pPr>
            <w:r>
              <w:rPr>
                <w:rFonts w:hint="eastAsia" w:ascii="宋体" w:cs="宋体"/>
                <w:kern w:val="0"/>
                <w:sz w:val="22"/>
                <w:szCs w:val="22"/>
                <w:lang w:val="en-US" w:eastAsia="zh-CN"/>
              </w:rPr>
              <w:t>4</w:t>
            </w:r>
          </w:p>
        </w:tc>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cs="宋体"/>
                <w:sz w:val="22"/>
                <w:szCs w:val="22"/>
              </w:rPr>
            </w:pPr>
            <w:r>
              <w:rPr>
                <w:rFonts w:hint="eastAsia" w:ascii="宋体" w:cs="宋体"/>
                <w:kern w:val="0"/>
                <w:sz w:val="22"/>
                <w:szCs w:val="22"/>
              </w:rPr>
              <w:t>生产加工</w:t>
            </w:r>
            <w:r>
              <w:rPr>
                <w:rFonts w:hint="eastAsia" w:ascii="宋体" w:cs="宋体"/>
                <w:kern w:val="0"/>
                <w:sz w:val="22"/>
                <w:szCs w:val="22"/>
                <w:lang w:eastAsia="zh-CN"/>
              </w:rPr>
              <w:t>场区设置</w:t>
            </w:r>
          </w:p>
        </w:tc>
        <w:tc>
          <w:tcPr>
            <w:tcW w:w="63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textAlignment w:val="center"/>
              <w:rPr>
                <w:rFonts w:hint="eastAsia" w:ascii="宋体" w:eastAsia="宋体" w:cs="宋体"/>
                <w:kern w:val="0"/>
                <w:szCs w:val="21"/>
                <w:lang w:eastAsia="zh-CN"/>
              </w:rPr>
            </w:pPr>
            <w:r>
              <w:rPr>
                <w:rFonts w:hint="eastAsia" w:ascii="宋体" w:cs="宋体"/>
                <w:kern w:val="0"/>
                <w:szCs w:val="21"/>
              </w:rPr>
              <w:t>施工现场未按照“分隔分区”的原则分别设置生活区、办公区、施工区的，扣5分</w:t>
            </w:r>
            <w:r>
              <w:rPr>
                <w:rFonts w:hint="eastAsia" w:ascii="宋体" w:cs="宋体"/>
                <w:kern w:val="0"/>
                <w:szCs w:val="21"/>
                <w:lang w:val="en-US" w:eastAsia="zh-CN"/>
              </w:rPr>
              <w:t>;</w:t>
            </w:r>
          </w:p>
          <w:p>
            <w:pPr>
              <w:widowControl/>
              <w:spacing w:line="240" w:lineRule="exact"/>
              <w:textAlignment w:val="center"/>
              <w:rPr>
                <w:rFonts w:hint="eastAsia" w:ascii="宋体" w:cs="宋体"/>
                <w:kern w:val="0"/>
                <w:szCs w:val="21"/>
              </w:rPr>
            </w:pPr>
            <w:r>
              <w:rPr>
                <w:rFonts w:hint="eastAsia" w:ascii="宋体" w:cs="宋体"/>
                <w:kern w:val="0"/>
                <w:szCs w:val="21"/>
              </w:rPr>
              <w:t>仓库、材料堆放场、钢筋加工场、木材加工场、垃圾堆放场以及设备操作棚等生产区域地面未硬化的，每处扣2分；</w:t>
            </w:r>
          </w:p>
          <w:p>
            <w:pPr>
              <w:widowControl/>
              <w:spacing w:line="240" w:lineRule="exact"/>
              <w:textAlignment w:val="center"/>
              <w:rPr>
                <w:rFonts w:hint="eastAsia" w:ascii="宋体" w:cs="宋体"/>
                <w:kern w:val="0"/>
                <w:szCs w:val="21"/>
              </w:rPr>
            </w:pPr>
            <w:r>
              <w:rPr>
                <w:rFonts w:hint="eastAsia" w:ascii="宋体" w:cs="宋体"/>
                <w:kern w:val="0"/>
                <w:szCs w:val="21"/>
              </w:rPr>
              <w:t>封闭大棚、加工操作棚或物料设备堆放棚不符合要求或损坏后未及时修复的，每处扣2分。</w:t>
            </w:r>
          </w:p>
        </w:tc>
        <w:tc>
          <w:tcPr>
            <w:tcW w:w="626" w:type="dxa"/>
            <w:vMerge w:val="continue"/>
            <w:tcBorders>
              <w:left w:val="single" w:color="000000" w:sz="4" w:space="0"/>
              <w:right w:val="single" w:color="000000" w:sz="4" w:space="0"/>
            </w:tcBorders>
            <w:shd w:val="clear" w:color="auto" w:fill="auto"/>
            <w:noWrap/>
            <w:vAlign w:val="center"/>
          </w:tcPr>
          <w:p>
            <w:pPr>
              <w:widowControl/>
              <w:jc w:val="center"/>
              <w:textAlignment w:val="center"/>
              <w:rPr>
                <w:rFonts w:ascii="宋体" w:cs="宋体"/>
                <w:sz w:val="22"/>
                <w:szCs w:val="22"/>
              </w:rPr>
            </w:pPr>
          </w:p>
        </w:tc>
        <w:tc>
          <w:tcPr>
            <w:tcW w:w="655" w:type="dxa"/>
            <w:vMerge w:val="continue"/>
            <w:tcBorders>
              <w:left w:val="single" w:color="000000" w:sz="4" w:space="0"/>
              <w:right w:val="single" w:color="000000" w:sz="4" w:space="0"/>
            </w:tcBorders>
            <w:shd w:val="clear" w:color="auto" w:fill="auto"/>
            <w:noWrap/>
            <w:vAlign w:val="center"/>
          </w:tcPr>
          <w:p>
            <w:pPr>
              <w:ind w:firstLine="376"/>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54" w:type="dxa"/>
          <w:trHeight w:val="1171"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eastAsia="宋体" w:cs="宋体"/>
                <w:sz w:val="22"/>
                <w:szCs w:val="22"/>
                <w:lang w:eastAsia="zh-CN"/>
              </w:rPr>
            </w:pPr>
            <w:r>
              <w:rPr>
                <w:rFonts w:hint="eastAsia" w:ascii="宋体" w:cs="宋体"/>
                <w:kern w:val="0"/>
                <w:sz w:val="22"/>
                <w:szCs w:val="22"/>
                <w:lang w:val="en-US" w:eastAsia="zh-CN"/>
              </w:rPr>
              <w:t>5</w:t>
            </w:r>
          </w:p>
        </w:tc>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cs="宋体"/>
                <w:sz w:val="22"/>
                <w:szCs w:val="22"/>
              </w:rPr>
            </w:pPr>
            <w:r>
              <w:rPr>
                <w:rFonts w:hint="eastAsia" w:ascii="宋体" w:cs="宋体"/>
                <w:kern w:val="0"/>
                <w:sz w:val="22"/>
                <w:szCs w:val="22"/>
              </w:rPr>
              <w:t>材料码放</w:t>
            </w:r>
          </w:p>
        </w:tc>
        <w:tc>
          <w:tcPr>
            <w:tcW w:w="63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textAlignment w:val="center"/>
              <w:rPr>
                <w:rFonts w:hint="eastAsia" w:ascii="宋体" w:cs="宋体"/>
                <w:kern w:val="0"/>
                <w:szCs w:val="21"/>
              </w:rPr>
            </w:pPr>
            <w:r>
              <w:rPr>
                <w:rFonts w:hint="eastAsia" w:ascii="宋体" w:cs="宋体"/>
                <w:kern w:val="0"/>
                <w:szCs w:val="21"/>
              </w:rPr>
              <w:t xml:space="preserve">建筑材料、构配件、料具未分类整齐堆放的，扣3分； </w:t>
            </w:r>
          </w:p>
          <w:p>
            <w:pPr>
              <w:widowControl/>
              <w:spacing w:line="240" w:lineRule="exact"/>
              <w:textAlignment w:val="center"/>
              <w:rPr>
                <w:rFonts w:hint="eastAsia" w:ascii="宋体" w:cs="宋体"/>
                <w:kern w:val="0"/>
                <w:szCs w:val="21"/>
              </w:rPr>
            </w:pPr>
            <w:r>
              <w:rPr>
                <w:rFonts w:hint="eastAsia" w:ascii="宋体" w:cs="宋体"/>
                <w:kern w:val="0"/>
                <w:szCs w:val="21"/>
              </w:rPr>
              <w:t>未按要求设置材料标识牌的，扣2分。</w:t>
            </w:r>
          </w:p>
        </w:tc>
        <w:tc>
          <w:tcPr>
            <w:tcW w:w="626" w:type="dxa"/>
            <w:vMerge w:val="continue"/>
            <w:tcBorders>
              <w:left w:val="single" w:color="000000" w:sz="4" w:space="0"/>
              <w:right w:val="single" w:color="000000" w:sz="4" w:space="0"/>
            </w:tcBorders>
            <w:shd w:val="clear" w:color="auto" w:fill="auto"/>
            <w:noWrap/>
            <w:vAlign w:val="center"/>
          </w:tcPr>
          <w:p>
            <w:pPr>
              <w:widowControl/>
              <w:jc w:val="center"/>
              <w:textAlignment w:val="center"/>
              <w:rPr>
                <w:rFonts w:ascii="宋体" w:cs="宋体"/>
                <w:sz w:val="22"/>
                <w:szCs w:val="22"/>
              </w:rPr>
            </w:pPr>
          </w:p>
        </w:tc>
        <w:tc>
          <w:tcPr>
            <w:tcW w:w="655" w:type="dxa"/>
            <w:vMerge w:val="continue"/>
            <w:tcBorders>
              <w:left w:val="single" w:color="000000" w:sz="4" w:space="0"/>
              <w:right w:val="single" w:color="000000" w:sz="4" w:space="0"/>
            </w:tcBorders>
            <w:shd w:val="clear" w:color="auto" w:fill="auto"/>
            <w:noWrap/>
            <w:vAlign w:val="center"/>
          </w:tcPr>
          <w:p>
            <w:pPr>
              <w:rPr>
                <w:rFonts w:ascii="宋体" w:cs="宋体"/>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54" w:type="dxa"/>
          <w:trHeight w:val="1389"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eastAsia="宋体" w:cs="宋体"/>
                <w:sz w:val="22"/>
                <w:szCs w:val="22"/>
                <w:lang w:eastAsia="zh-CN"/>
              </w:rPr>
            </w:pPr>
            <w:r>
              <w:rPr>
                <w:rFonts w:hint="eastAsia" w:ascii="宋体" w:cs="宋体"/>
                <w:kern w:val="0"/>
                <w:sz w:val="22"/>
                <w:szCs w:val="22"/>
                <w:lang w:val="en-US" w:eastAsia="zh-CN"/>
              </w:rPr>
              <w:t>6</w:t>
            </w:r>
          </w:p>
        </w:tc>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cs="宋体"/>
                <w:sz w:val="22"/>
                <w:szCs w:val="22"/>
              </w:rPr>
            </w:pPr>
            <w:r>
              <w:rPr>
                <w:rFonts w:hint="eastAsia" w:ascii="宋体" w:cs="宋体"/>
                <w:kern w:val="0"/>
                <w:sz w:val="22"/>
                <w:szCs w:val="22"/>
              </w:rPr>
              <w:t>建筑垃圾</w:t>
            </w:r>
          </w:p>
        </w:tc>
        <w:tc>
          <w:tcPr>
            <w:tcW w:w="63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textAlignment w:val="center"/>
              <w:rPr>
                <w:rFonts w:ascii="宋体" w:cs="宋体"/>
                <w:kern w:val="0"/>
                <w:szCs w:val="21"/>
              </w:rPr>
            </w:pPr>
            <w:r>
              <w:rPr>
                <w:rFonts w:hint="eastAsia" w:ascii="宋体" w:cs="宋体"/>
                <w:kern w:val="0"/>
                <w:szCs w:val="21"/>
              </w:rPr>
              <w:t xml:space="preserve">施工现场生活垃圾未进行分类处置的，扣5分； </w:t>
            </w:r>
          </w:p>
          <w:p>
            <w:pPr>
              <w:widowControl/>
              <w:spacing w:line="240" w:lineRule="exact"/>
              <w:textAlignment w:val="center"/>
              <w:rPr>
                <w:rFonts w:ascii="宋体" w:cs="宋体"/>
                <w:kern w:val="0"/>
                <w:szCs w:val="21"/>
              </w:rPr>
            </w:pPr>
            <w:r>
              <w:rPr>
                <w:rFonts w:hint="eastAsia" w:ascii="宋体" w:cs="宋体"/>
                <w:kern w:val="0"/>
                <w:szCs w:val="21"/>
              </w:rPr>
              <w:t xml:space="preserve">留置回填土未采用防尘网进行遮盖的，扣5分； </w:t>
            </w:r>
          </w:p>
          <w:p>
            <w:pPr>
              <w:widowControl/>
              <w:spacing w:line="240" w:lineRule="exact"/>
              <w:textAlignment w:val="center"/>
              <w:rPr>
                <w:rFonts w:ascii="宋体" w:cs="宋体"/>
                <w:szCs w:val="21"/>
              </w:rPr>
            </w:pPr>
            <w:r>
              <w:rPr>
                <w:rFonts w:hint="eastAsia" w:ascii="宋体" w:cs="宋体"/>
                <w:kern w:val="0"/>
                <w:szCs w:val="21"/>
              </w:rPr>
              <w:t>施工现场建筑垃圾未及时清运的，扣3分。</w:t>
            </w:r>
          </w:p>
        </w:tc>
        <w:tc>
          <w:tcPr>
            <w:tcW w:w="626" w:type="dxa"/>
            <w:vMerge w:val="continue"/>
            <w:tcBorders>
              <w:left w:val="single" w:color="000000" w:sz="4" w:space="0"/>
              <w:right w:val="single" w:color="000000" w:sz="4" w:space="0"/>
            </w:tcBorders>
            <w:shd w:val="clear" w:color="auto" w:fill="auto"/>
            <w:noWrap/>
            <w:vAlign w:val="center"/>
          </w:tcPr>
          <w:p>
            <w:pPr>
              <w:widowControl/>
              <w:jc w:val="center"/>
              <w:textAlignment w:val="center"/>
              <w:rPr>
                <w:rFonts w:ascii="宋体" w:cs="宋体"/>
                <w:sz w:val="22"/>
                <w:szCs w:val="22"/>
              </w:rPr>
            </w:pPr>
          </w:p>
        </w:tc>
        <w:tc>
          <w:tcPr>
            <w:tcW w:w="655" w:type="dxa"/>
            <w:vMerge w:val="continue"/>
            <w:tcBorders>
              <w:left w:val="single" w:color="000000" w:sz="4" w:space="0"/>
              <w:right w:val="single" w:color="000000" w:sz="4" w:space="0"/>
            </w:tcBorders>
            <w:shd w:val="clear" w:color="auto" w:fill="auto"/>
            <w:noWrap/>
            <w:vAlign w:val="center"/>
          </w:tcPr>
          <w:p>
            <w:pPr>
              <w:rPr>
                <w:rFonts w:ascii="宋体" w:cs="宋体"/>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54" w:type="dxa"/>
          <w:trHeight w:val="1552"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eastAsia="宋体" w:cs="宋体"/>
                <w:kern w:val="0"/>
                <w:sz w:val="22"/>
                <w:szCs w:val="22"/>
                <w:lang w:eastAsia="zh-CN"/>
              </w:rPr>
            </w:pPr>
            <w:r>
              <w:rPr>
                <w:rFonts w:hint="eastAsia" w:ascii="宋体" w:cs="宋体"/>
                <w:kern w:val="0"/>
                <w:sz w:val="22"/>
                <w:szCs w:val="22"/>
                <w:lang w:val="en-US" w:eastAsia="zh-CN"/>
              </w:rPr>
              <w:t>7</w:t>
            </w:r>
          </w:p>
        </w:tc>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cs="宋体"/>
                <w:kern w:val="0"/>
                <w:sz w:val="22"/>
                <w:szCs w:val="22"/>
              </w:rPr>
            </w:pPr>
            <w:r>
              <w:rPr>
                <w:rFonts w:hint="eastAsia" w:ascii="宋体" w:cs="宋体"/>
                <w:kern w:val="0"/>
                <w:sz w:val="22"/>
                <w:szCs w:val="22"/>
              </w:rPr>
              <w:t>非道路移动机械</w:t>
            </w:r>
          </w:p>
        </w:tc>
        <w:tc>
          <w:tcPr>
            <w:tcW w:w="63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textAlignment w:val="center"/>
              <w:rPr>
                <w:rFonts w:hint="eastAsia" w:ascii="宋体" w:eastAsia="宋体" w:cs="宋体"/>
                <w:kern w:val="0"/>
                <w:szCs w:val="21"/>
                <w:lang w:eastAsia="zh-CN"/>
              </w:rPr>
            </w:pPr>
            <w:r>
              <w:rPr>
                <w:rFonts w:hint="eastAsia" w:ascii="宋体" w:cs="宋体"/>
                <w:kern w:val="0"/>
                <w:szCs w:val="21"/>
              </w:rPr>
              <w:t>施工现场非道路移动机械未办理环保编码的，每台扣</w:t>
            </w:r>
            <w:r>
              <w:rPr>
                <w:rFonts w:hint="eastAsia" w:ascii="宋体" w:cs="宋体"/>
                <w:kern w:val="0"/>
                <w:szCs w:val="21"/>
                <w:lang w:val="en-US" w:eastAsia="zh-CN"/>
              </w:rPr>
              <w:t>5</w:t>
            </w:r>
            <w:r>
              <w:rPr>
                <w:rFonts w:hint="eastAsia" w:ascii="宋体" w:cs="宋体"/>
                <w:kern w:val="0"/>
                <w:szCs w:val="21"/>
              </w:rPr>
              <w:t>分</w:t>
            </w:r>
            <w:r>
              <w:rPr>
                <w:rFonts w:ascii="宋体" w:cs="宋体"/>
                <w:kern w:val="0"/>
                <w:szCs w:val="21"/>
              </w:rPr>
              <w:t>；</w:t>
            </w:r>
            <w:r>
              <w:rPr>
                <w:rFonts w:hint="eastAsia" w:ascii="宋体" w:cs="宋体"/>
                <w:kern w:val="0"/>
                <w:szCs w:val="21"/>
              </w:rPr>
              <w:t>现场非道路移动机械存在冒黑烟的，每台扣</w:t>
            </w:r>
            <w:r>
              <w:rPr>
                <w:rFonts w:hint="eastAsia" w:ascii="宋体" w:cs="宋体"/>
                <w:kern w:val="0"/>
                <w:szCs w:val="21"/>
                <w:lang w:val="en-US" w:eastAsia="zh-CN"/>
              </w:rPr>
              <w:t>5</w:t>
            </w:r>
            <w:r>
              <w:rPr>
                <w:rFonts w:hint="eastAsia" w:ascii="宋体" w:cs="宋体"/>
                <w:kern w:val="0"/>
                <w:szCs w:val="21"/>
              </w:rPr>
              <w:t>分</w:t>
            </w:r>
            <w:r>
              <w:rPr>
                <w:rFonts w:hint="eastAsia" w:ascii="宋体" w:cs="宋体"/>
                <w:kern w:val="0"/>
                <w:szCs w:val="21"/>
                <w:lang w:eastAsia="zh-CN"/>
              </w:rPr>
              <w:t>。</w:t>
            </w:r>
          </w:p>
        </w:tc>
        <w:tc>
          <w:tcPr>
            <w:tcW w:w="626" w:type="dxa"/>
            <w:vMerge w:val="continue"/>
            <w:tcBorders>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cs="宋体"/>
                <w:kern w:val="0"/>
                <w:sz w:val="22"/>
                <w:szCs w:val="22"/>
              </w:rPr>
            </w:pPr>
          </w:p>
        </w:tc>
        <w:tc>
          <w:tcPr>
            <w:tcW w:w="655" w:type="dxa"/>
            <w:vMerge w:val="continue"/>
            <w:tcBorders>
              <w:left w:val="single" w:color="000000" w:sz="4" w:space="0"/>
              <w:bottom w:val="single" w:color="000000" w:sz="4" w:space="0"/>
              <w:right w:val="single" w:color="000000" w:sz="4" w:space="0"/>
            </w:tcBorders>
            <w:shd w:val="clear" w:color="auto" w:fill="auto"/>
            <w:noWrap/>
            <w:vAlign w:val="center"/>
          </w:tcPr>
          <w:p>
            <w:pPr>
              <w:rPr>
                <w:rFonts w:ascii="宋体" w:cs="宋体"/>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54" w:type="dxa"/>
          <w:trHeight w:val="1616"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eastAsia="宋体" w:cs="宋体"/>
                <w:kern w:val="0"/>
                <w:sz w:val="22"/>
                <w:szCs w:val="22"/>
                <w:lang w:eastAsia="zh-CN"/>
              </w:rPr>
            </w:pPr>
            <w:r>
              <w:rPr>
                <w:rFonts w:hint="eastAsia" w:ascii="宋体" w:cs="宋体"/>
                <w:kern w:val="0"/>
                <w:sz w:val="22"/>
                <w:szCs w:val="22"/>
                <w:lang w:val="en-US" w:eastAsia="zh-CN"/>
              </w:rPr>
              <w:t>8</w:t>
            </w:r>
          </w:p>
        </w:tc>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textAlignment w:val="center"/>
              <w:rPr>
                <w:rFonts w:hint="eastAsia" w:ascii="宋体" w:cs="宋体"/>
                <w:kern w:val="0"/>
                <w:szCs w:val="21"/>
              </w:rPr>
            </w:pPr>
            <w:r>
              <w:rPr>
                <w:rFonts w:hint="eastAsia" w:ascii="宋体" w:cs="宋体"/>
                <w:kern w:val="0"/>
                <w:szCs w:val="21"/>
              </w:rPr>
              <w:t>施工噪音及光污染</w:t>
            </w:r>
          </w:p>
        </w:tc>
        <w:tc>
          <w:tcPr>
            <w:tcW w:w="63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textAlignment w:val="center"/>
              <w:rPr>
                <w:rFonts w:hint="eastAsia" w:ascii="宋体" w:cs="宋体"/>
                <w:kern w:val="0"/>
                <w:szCs w:val="21"/>
              </w:rPr>
            </w:pPr>
            <w:r>
              <w:rPr>
                <w:rFonts w:hint="eastAsia" w:ascii="宋体" w:cs="宋体"/>
                <w:kern w:val="0"/>
                <w:szCs w:val="21"/>
              </w:rPr>
              <w:t>噪声敏感区域违规进行夜间施工的或未办理夜间施工许可的，扣 5 分；</w:t>
            </w:r>
          </w:p>
          <w:p>
            <w:pPr>
              <w:widowControl/>
              <w:spacing w:line="240" w:lineRule="exact"/>
              <w:textAlignment w:val="center"/>
              <w:rPr>
                <w:rFonts w:hint="eastAsia" w:ascii="宋体" w:cs="宋体"/>
                <w:kern w:val="0"/>
                <w:szCs w:val="21"/>
              </w:rPr>
            </w:pPr>
            <w:r>
              <w:rPr>
                <w:rFonts w:hint="eastAsia" w:ascii="宋体" w:cs="宋体"/>
                <w:kern w:val="0"/>
                <w:szCs w:val="21"/>
              </w:rPr>
              <w:t>强噪音施工机具未采取有效降噪措施的，扣 5分；</w:t>
            </w:r>
          </w:p>
          <w:p>
            <w:pPr>
              <w:widowControl/>
              <w:spacing w:line="240" w:lineRule="exact"/>
              <w:textAlignment w:val="center"/>
              <w:rPr>
                <w:rFonts w:hint="eastAsia" w:ascii="宋体" w:cs="宋体"/>
                <w:kern w:val="0"/>
                <w:szCs w:val="21"/>
              </w:rPr>
            </w:pPr>
            <w:r>
              <w:rPr>
                <w:rFonts w:hint="eastAsia" w:ascii="宋体" w:cs="宋体"/>
                <w:kern w:val="0"/>
                <w:szCs w:val="21"/>
              </w:rPr>
              <w:t>施工边界噪声及光污染超过规定要求，导致投诉的，扣5分。</w:t>
            </w: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cs="宋体"/>
                <w:kern w:val="0"/>
                <w:sz w:val="22"/>
                <w:szCs w:val="22"/>
              </w:rPr>
            </w:pPr>
            <w:r>
              <w:rPr>
                <w:rFonts w:hint="eastAsia" w:ascii="宋体" w:cs="宋体"/>
                <w:kern w:val="0"/>
                <w:sz w:val="22"/>
                <w:szCs w:val="22"/>
              </w:rPr>
              <w:t>5</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cs="宋体"/>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54" w:type="dxa"/>
          <w:trHeight w:val="1613"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eastAsia="宋体" w:cs="宋体"/>
                <w:sz w:val="22"/>
                <w:szCs w:val="22"/>
                <w:lang w:eastAsia="zh-CN"/>
              </w:rPr>
            </w:pPr>
            <w:r>
              <w:rPr>
                <w:rFonts w:hint="eastAsia" w:ascii="宋体" w:cs="宋体"/>
                <w:kern w:val="0"/>
                <w:sz w:val="22"/>
                <w:szCs w:val="22"/>
                <w:lang w:val="en-US" w:eastAsia="zh-CN"/>
              </w:rPr>
              <w:t>9</w:t>
            </w:r>
          </w:p>
        </w:tc>
        <w:tc>
          <w:tcPr>
            <w:tcW w:w="109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cs="宋体"/>
                <w:sz w:val="22"/>
                <w:szCs w:val="22"/>
              </w:rPr>
            </w:pPr>
            <w:r>
              <w:rPr>
                <w:rFonts w:hint="eastAsia" w:ascii="宋体" w:cs="宋体"/>
                <w:kern w:val="0"/>
                <w:sz w:val="22"/>
                <w:szCs w:val="22"/>
              </w:rPr>
              <w:t>公示标牌</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cs="宋体"/>
                <w:sz w:val="22"/>
                <w:szCs w:val="22"/>
              </w:rPr>
            </w:pPr>
            <w:r>
              <w:rPr>
                <w:rFonts w:hint="eastAsia" w:ascii="宋体" w:cs="宋体"/>
                <w:kern w:val="0"/>
                <w:sz w:val="22"/>
                <w:szCs w:val="22"/>
              </w:rPr>
              <w:t>十牌两图</w:t>
            </w:r>
          </w:p>
        </w:tc>
        <w:tc>
          <w:tcPr>
            <w:tcW w:w="63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textAlignment w:val="center"/>
              <w:rPr>
                <w:rFonts w:ascii="宋体" w:cs="宋体"/>
                <w:szCs w:val="21"/>
              </w:rPr>
            </w:pPr>
            <w:r>
              <w:rPr>
                <w:rFonts w:hint="eastAsia" w:ascii="宋体" w:cs="宋体"/>
                <w:kern w:val="0"/>
                <w:szCs w:val="21"/>
              </w:rPr>
              <w:t>未在施工现场大门外侧按规定要求设置“十牌两图”的，扣</w:t>
            </w:r>
            <w:r>
              <w:rPr>
                <w:rFonts w:ascii="宋体" w:cs="宋体"/>
                <w:kern w:val="0"/>
                <w:szCs w:val="21"/>
              </w:rPr>
              <w:t>3</w:t>
            </w:r>
            <w:r>
              <w:rPr>
                <w:rFonts w:hint="eastAsia" w:ascii="宋体" w:cs="宋体"/>
                <w:kern w:val="0"/>
                <w:szCs w:val="21"/>
              </w:rPr>
              <w:t>分，（工程概况牌、消防保卫牌、安全生产牌、文明施工牌及扬尘污染防治公示牌、管理人员名单及监督电话牌、 入场须知牌、</w:t>
            </w:r>
            <w:r>
              <w:rPr>
                <w:rFonts w:ascii="宋体" w:cs="宋体"/>
                <w:kern w:val="0"/>
                <w:szCs w:val="21"/>
              </w:rPr>
              <w:t>施工现场管理制度牌</w:t>
            </w:r>
            <w:r>
              <w:rPr>
                <w:rFonts w:hint="eastAsia" w:ascii="宋体" w:cs="宋体"/>
                <w:kern w:val="0"/>
                <w:szCs w:val="21"/>
              </w:rPr>
              <w:t>、</w:t>
            </w:r>
            <w:r>
              <w:rPr>
                <w:rFonts w:ascii="宋体" w:cs="宋体"/>
                <w:kern w:val="0"/>
                <w:szCs w:val="21"/>
              </w:rPr>
              <w:t>安全生产责任承诺公示牌</w:t>
            </w:r>
            <w:r>
              <w:rPr>
                <w:rFonts w:hint="eastAsia" w:ascii="宋体" w:cs="宋体"/>
                <w:kern w:val="0"/>
                <w:szCs w:val="21"/>
              </w:rPr>
              <w:t>、</w:t>
            </w:r>
            <w:r>
              <w:rPr>
                <w:rFonts w:ascii="宋体" w:cs="宋体"/>
                <w:kern w:val="0"/>
                <w:szCs w:val="21"/>
              </w:rPr>
              <w:t>施工安全生产举报奖励公示牌</w:t>
            </w:r>
            <w:r>
              <w:rPr>
                <w:rFonts w:hint="eastAsia" w:ascii="宋体" w:cs="宋体"/>
                <w:kern w:val="0"/>
                <w:szCs w:val="21"/>
              </w:rPr>
              <w:t>、重大危险源公示牌、施工现场总平面图、工程立面效果图）。</w:t>
            </w:r>
          </w:p>
        </w:tc>
        <w:tc>
          <w:tcPr>
            <w:tcW w:w="626" w:type="dxa"/>
            <w:vMerge w:val="restart"/>
            <w:tcBorders>
              <w:top w:val="single" w:color="000000" w:sz="4" w:space="0"/>
              <w:left w:val="single" w:color="000000" w:sz="4" w:space="0"/>
              <w:right w:val="single" w:color="000000" w:sz="4" w:space="0"/>
            </w:tcBorders>
            <w:shd w:val="clear" w:color="auto" w:fill="auto"/>
            <w:noWrap/>
            <w:vAlign w:val="center"/>
          </w:tcPr>
          <w:p>
            <w:pPr>
              <w:widowControl/>
              <w:jc w:val="center"/>
              <w:textAlignment w:val="center"/>
              <w:rPr>
                <w:rFonts w:hint="eastAsia" w:ascii="宋体" w:eastAsia="宋体" w:cs="宋体"/>
                <w:sz w:val="22"/>
                <w:szCs w:val="22"/>
                <w:lang w:eastAsia="zh-CN"/>
              </w:rPr>
            </w:pPr>
            <w:r>
              <w:rPr>
                <w:rFonts w:hint="eastAsia" w:ascii="宋体" w:cs="宋体"/>
                <w:kern w:val="0"/>
                <w:sz w:val="22"/>
                <w:szCs w:val="22"/>
                <w:lang w:val="en-US" w:eastAsia="zh-CN"/>
              </w:rPr>
              <w:t>6</w:t>
            </w:r>
          </w:p>
        </w:tc>
        <w:tc>
          <w:tcPr>
            <w:tcW w:w="655" w:type="dxa"/>
            <w:vMerge w:val="restart"/>
            <w:tcBorders>
              <w:top w:val="single" w:color="000000" w:sz="4" w:space="0"/>
              <w:left w:val="single" w:color="000000" w:sz="4" w:space="0"/>
              <w:right w:val="single" w:color="000000" w:sz="4" w:space="0"/>
            </w:tcBorders>
            <w:shd w:val="clear" w:color="auto" w:fill="auto"/>
            <w:noWrap/>
            <w:vAlign w:val="center"/>
          </w:tcPr>
          <w:p>
            <w:pPr>
              <w:rPr>
                <w:rFonts w:ascii="宋体" w:cs="宋体"/>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54" w:type="dxa"/>
          <w:trHeight w:val="1122" w:hRule="atLeast"/>
        </w:trPr>
        <w:tc>
          <w:tcPr>
            <w:tcW w:w="656"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widowControl/>
              <w:jc w:val="center"/>
              <w:textAlignment w:val="center"/>
              <w:rPr>
                <w:rFonts w:hint="default" w:ascii="宋体" w:eastAsia="宋体" w:cs="宋体"/>
                <w:sz w:val="22"/>
                <w:szCs w:val="22"/>
                <w:lang w:val="en-US" w:eastAsia="zh-CN"/>
              </w:rPr>
            </w:pPr>
            <w:r>
              <w:rPr>
                <w:rFonts w:hint="eastAsia" w:ascii="宋体" w:cs="宋体"/>
                <w:kern w:val="0"/>
                <w:sz w:val="22"/>
                <w:szCs w:val="22"/>
                <w:lang w:val="en-US" w:eastAsia="zh-CN"/>
              </w:rPr>
              <w:t>10</w:t>
            </w:r>
          </w:p>
        </w:tc>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tc>
        <w:tc>
          <w:tcPr>
            <w:tcW w:w="782"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jc w:val="center"/>
              <w:textAlignment w:val="center"/>
              <w:rPr>
                <w:rFonts w:ascii="宋体" w:cs="宋体"/>
                <w:sz w:val="22"/>
                <w:szCs w:val="22"/>
              </w:rPr>
            </w:pPr>
            <w:r>
              <w:rPr>
                <w:rFonts w:hint="eastAsia" w:ascii="宋体" w:cs="宋体"/>
                <w:kern w:val="0"/>
                <w:sz w:val="22"/>
                <w:szCs w:val="22"/>
              </w:rPr>
              <w:t>安全警示牌</w:t>
            </w:r>
          </w:p>
        </w:tc>
        <w:tc>
          <w:tcPr>
            <w:tcW w:w="6355"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240" w:lineRule="exact"/>
              <w:textAlignment w:val="center"/>
              <w:rPr>
                <w:rFonts w:ascii="宋体" w:cs="宋体"/>
                <w:szCs w:val="21"/>
              </w:rPr>
            </w:pPr>
            <w:r>
              <w:rPr>
                <w:rFonts w:hint="eastAsia" w:ascii="宋体" w:cs="宋体"/>
                <w:kern w:val="0"/>
                <w:szCs w:val="21"/>
              </w:rPr>
              <w:t>未在主要施工部位、作业层面和危险区域以及主要通道口设置醒目的安全警示标志的，</w:t>
            </w:r>
            <w:r>
              <w:rPr>
                <w:rFonts w:hint="eastAsia" w:ascii="宋体" w:cs="宋体"/>
                <w:kern w:val="0"/>
                <w:szCs w:val="21"/>
                <w:lang w:eastAsia="zh-CN"/>
              </w:rPr>
              <w:t>每处</w:t>
            </w:r>
            <w:r>
              <w:rPr>
                <w:rFonts w:hint="eastAsia" w:ascii="宋体" w:cs="宋体"/>
                <w:kern w:val="0"/>
                <w:szCs w:val="21"/>
              </w:rPr>
              <w:t>扣</w:t>
            </w:r>
            <w:r>
              <w:rPr>
                <w:rFonts w:ascii="宋体" w:cs="宋体"/>
                <w:kern w:val="0"/>
                <w:szCs w:val="21"/>
              </w:rPr>
              <w:t>2</w:t>
            </w:r>
            <w:r>
              <w:rPr>
                <w:rFonts w:hint="eastAsia" w:ascii="宋体" w:cs="宋体"/>
                <w:kern w:val="0"/>
                <w:szCs w:val="21"/>
              </w:rPr>
              <w:t>分。</w:t>
            </w:r>
          </w:p>
        </w:tc>
        <w:tc>
          <w:tcPr>
            <w:tcW w:w="626" w:type="dxa"/>
            <w:vMerge w:val="continue"/>
            <w:tcBorders>
              <w:left w:val="single" w:color="000000" w:sz="4" w:space="0"/>
              <w:bottom w:val="single" w:color="auto" w:sz="4" w:space="0"/>
              <w:right w:val="single" w:color="000000" w:sz="4" w:space="0"/>
            </w:tcBorders>
            <w:shd w:val="clear" w:color="auto" w:fill="auto"/>
            <w:noWrap/>
            <w:vAlign w:val="center"/>
          </w:tcPr>
          <w:p>
            <w:pPr>
              <w:widowControl/>
              <w:jc w:val="center"/>
              <w:textAlignment w:val="center"/>
              <w:rPr>
                <w:rFonts w:ascii="宋体" w:cs="宋体"/>
                <w:sz w:val="22"/>
                <w:szCs w:val="22"/>
              </w:rPr>
            </w:pPr>
          </w:p>
        </w:tc>
        <w:tc>
          <w:tcPr>
            <w:tcW w:w="655" w:type="dxa"/>
            <w:vMerge w:val="continue"/>
            <w:tcBorders>
              <w:left w:val="single" w:color="000000" w:sz="4" w:space="0"/>
              <w:bottom w:val="single" w:color="auto" w:sz="4" w:space="0"/>
              <w:right w:val="single" w:color="000000" w:sz="4" w:space="0"/>
            </w:tcBorders>
            <w:shd w:val="clear" w:color="auto" w:fill="auto"/>
            <w:noWrap/>
            <w:vAlign w:val="center"/>
          </w:tcPr>
          <w:p>
            <w:pPr>
              <w:rPr>
                <w:rFonts w:ascii="宋体" w:cs="宋体"/>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54" w:type="dxa"/>
          <w:trHeight w:val="1009" w:hRule="atLeast"/>
        </w:trPr>
        <w:tc>
          <w:tcPr>
            <w:tcW w:w="656" w:type="dxa"/>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textAlignment w:val="center"/>
              <w:rPr>
                <w:rFonts w:hint="default" w:ascii="宋体" w:eastAsia="宋体" w:cs="宋体"/>
                <w:sz w:val="22"/>
                <w:szCs w:val="22"/>
                <w:lang w:val="en-US" w:eastAsia="zh-CN"/>
              </w:rPr>
            </w:pPr>
            <w:r>
              <w:rPr>
                <w:rFonts w:hint="eastAsia" w:ascii="宋体" w:cs="宋体"/>
                <w:kern w:val="0"/>
                <w:sz w:val="22"/>
                <w:szCs w:val="22"/>
                <w:lang w:val="en-US" w:eastAsia="zh-CN"/>
              </w:rPr>
              <w:t>11</w:t>
            </w:r>
          </w:p>
        </w:tc>
        <w:tc>
          <w:tcPr>
            <w:tcW w:w="109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cs="宋体"/>
                <w:sz w:val="22"/>
                <w:szCs w:val="22"/>
              </w:rPr>
            </w:pPr>
            <w:r>
              <w:rPr>
                <w:rFonts w:hint="eastAsia" w:ascii="宋体" w:cs="宋体"/>
                <w:kern w:val="0"/>
                <w:sz w:val="22"/>
                <w:szCs w:val="22"/>
              </w:rPr>
              <w:t>扬尘环保</w:t>
            </w:r>
          </w:p>
        </w:tc>
        <w:tc>
          <w:tcPr>
            <w:tcW w:w="782"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jc w:val="center"/>
              <w:textAlignment w:val="center"/>
              <w:rPr>
                <w:rFonts w:ascii="宋体" w:cs="宋体"/>
                <w:sz w:val="22"/>
                <w:szCs w:val="22"/>
              </w:rPr>
            </w:pPr>
            <w:r>
              <w:rPr>
                <w:rFonts w:hint="eastAsia" w:ascii="宋体" w:cs="宋体"/>
                <w:kern w:val="0"/>
                <w:sz w:val="22"/>
                <w:szCs w:val="22"/>
              </w:rPr>
              <w:t>车辆冲洗</w:t>
            </w:r>
          </w:p>
        </w:tc>
        <w:tc>
          <w:tcPr>
            <w:tcW w:w="6355"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spacing w:line="240" w:lineRule="exact"/>
              <w:textAlignment w:val="center"/>
              <w:rPr>
                <w:rFonts w:ascii="宋体" w:cs="宋体"/>
                <w:kern w:val="0"/>
                <w:szCs w:val="21"/>
              </w:rPr>
            </w:pPr>
            <w:r>
              <w:rPr>
                <w:rFonts w:hint="eastAsia" w:ascii="宋体" w:cs="宋体"/>
                <w:kern w:val="0"/>
                <w:szCs w:val="21"/>
              </w:rPr>
              <w:t>施工现场车辆出入口未设置车辆冲洗设施的，存在未经冲洗或冲洗不彻底带泥上路现象的，扣</w:t>
            </w:r>
            <w:r>
              <w:rPr>
                <w:rFonts w:hint="eastAsia" w:ascii="宋体" w:cs="宋体"/>
                <w:kern w:val="0"/>
                <w:szCs w:val="21"/>
                <w:lang w:val="en-US" w:eastAsia="zh-CN"/>
              </w:rPr>
              <w:t>5</w:t>
            </w:r>
            <w:r>
              <w:rPr>
                <w:rFonts w:hint="eastAsia" w:ascii="宋体" w:cs="宋体"/>
                <w:kern w:val="0"/>
                <w:szCs w:val="21"/>
              </w:rPr>
              <w:t>分</w:t>
            </w:r>
            <w:r>
              <w:rPr>
                <w:rFonts w:ascii="宋体" w:cs="宋体"/>
                <w:kern w:val="0"/>
                <w:szCs w:val="21"/>
              </w:rPr>
              <w:t>；</w:t>
            </w:r>
          </w:p>
          <w:p>
            <w:pPr>
              <w:widowControl/>
              <w:spacing w:line="240" w:lineRule="exact"/>
              <w:textAlignment w:val="center"/>
              <w:rPr>
                <w:rFonts w:ascii="宋体" w:cs="宋体"/>
                <w:kern w:val="0"/>
                <w:szCs w:val="21"/>
              </w:rPr>
            </w:pPr>
            <w:r>
              <w:rPr>
                <w:rFonts w:hint="eastAsia" w:ascii="宋体" w:cs="宋体"/>
                <w:kern w:val="0"/>
                <w:szCs w:val="21"/>
              </w:rPr>
              <w:t>未建立车辆进出台账，扣</w:t>
            </w:r>
            <w:r>
              <w:rPr>
                <w:rFonts w:ascii="宋体" w:cs="宋体"/>
                <w:kern w:val="0"/>
                <w:szCs w:val="21"/>
              </w:rPr>
              <w:t>3</w:t>
            </w:r>
            <w:r>
              <w:rPr>
                <w:rFonts w:hint="eastAsia" w:ascii="宋体" w:cs="宋体"/>
                <w:kern w:val="0"/>
                <w:szCs w:val="21"/>
              </w:rPr>
              <w:t>分。</w:t>
            </w:r>
          </w:p>
        </w:tc>
        <w:tc>
          <w:tcPr>
            <w:tcW w:w="626" w:type="dxa"/>
            <w:vMerge w:val="restart"/>
            <w:tcBorders>
              <w:top w:val="single" w:color="auto" w:sz="4" w:space="0"/>
              <w:left w:val="single" w:color="000000" w:sz="4" w:space="0"/>
              <w:right w:val="single" w:color="000000" w:sz="4" w:space="0"/>
            </w:tcBorders>
            <w:shd w:val="clear" w:color="auto" w:fill="auto"/>
            <w:noWrap/>
            <w:vAlign w:val="center"/>
          </w:tcPr>
          <w:p>
            <w:pPr>
              <w:widowControl/>
              <w:jc w:val="center"/>
              <w:textAlignment w:val="center"/>
              <w:rPr>
                <w:rFonts w:hint="default" w:ascii="宋体" w:eastAsia="宋体" w:cs="宋体"/>
                <w:sz w:val="22"/>
                <w:szCs w:val="22"/>
                <w:lang w:val="en-US" w:eastAsia="zh-CN"/>
              </w:rPr>
            </w:pPr>
            <w:r>
              <w:rPr>
                <w:rFonts w:hint="eastAsia" w:ascii="宋体" w:cs="宋体"/>
                <w:sz w:val="22"/>
                <w:szCs w:val="22"/>
                <w:lang w:val="en-US" w:eastAsia="zh-CN"/>
              </w:rPr>
              <w:t>30</w:t>
            </w:r>
          </w:p>
        </w:tc>
        <w:tc>
          <w:tcPr>
            <w:tcW w:w="655" w:type="dxa"/>
            <w:vMerge w:val="restart"/>
            <w:tcBorders>
              <w:top w:val="single" w:color="auto" w:sz="4" w:space="0"/>
              <w:left w:val="single" w:color="000000" w:sz="4" w:space="0"/>
              <w:right w:val="single" w:color="auto" w:sz="4" w:space="0"/>
            </w:tcBorders>
            <w:shd w:val="clear" w:color="auto" w:fill="auto"/>
            <w:noWrap/>
            <w:vAlign w:val="center"/>
          </w:tcPr>
          <w:p>
            <w:pPr>
              <w:rPr>
                <w:rFonts w:ascii="宋体" w:cs="宋体"/>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54" w:type="dxa"/>
          <w:trHeight w:val="1398" w:hRule="atLeast"/>
        </w:trPr>
        <w:tc>
          <w:tcPr>
            <w:tcW w:w="656" w:type="dxa"/>
            <w:tcBorders>
              <w:top w:val="single" w:color="auto" w:sz="4" w:space="0"/>
              <w:left w:val="single" w:color="000000" w:sz="4" w:space="0"/>
              <w:bottom w:val="single" w:color="auto" w:sz="4" w:space="0"/>
              <w:right w:val="single" w:color="000000" w:sz="4" w:space="0"/>
            </w:tcBorders>
            <w:shd w:val="clear" w:color="auto" w:fill="auto"/>
            <w:noWrap/>
            <w:vAlign w:val="center"/>
          </w:tcPr>
          <w:p>
            <w:pPr>
              <w:widowControl/>
              <w:jc w:val="center"/>
              <w:textAlignment w:val="center"/>
              <w:rPr>
                <w:rFonts w:hint="default" w:ascii="宋体" w:eastAsia="宋体" w:cs="宋体"/>
                <w:sz w:val="22"/>
                <w:szCs w:val="22"/>
                <w:lang w:val="en-US" w:eastAsia="zh-CN"/>
              </w:rPr>
            </w:pPr>
            <w:r>
              <w:rPr>
                <w:rFonts w:hint="eastAsia" w:ascii="宋体" w:cs="宋体"/>
                <w:kern w:val="0"/>
                <w:sz w:val="22"/>
                <w:szCs w:val="22"/>
                <w:lang w:val="en-US" w:eastAsia="zh-CN"/>
              </w:rPr>
              <w:t>12</w:t>
            </w:r>
          </w:p>
        </w:tc>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tc>
        <w:tc>
          <w:tcPr>
            <w:tcW w:w="782" w:type="dxa"/>
            <w:tcBorders>
              <w:top w:val="single" w:color="auto" w:sz="4" w:space="0"/>
              <w:left w:val="single" w:color="000000" w:sz="4" w:space="0"/>
              <w:bottom w:val="single" w:color="auto" w:sz="4" w:space="0"/>
              <w:right w:val="single" w:color="000000" w:sz="4" w:space="0"/>
            </w:tcBorders>
            <w:shd w:val="clear" w:color="auto" w:fill="auto"/>
            <w:vAlign w:val="top"/>
          </w:tcPr>
          <w:p>
            <w:pPr>
              <w:widowControl/>
              <w:jc w:val="left"/>
              <w:textAlignment w:val="center"/>
              <w:rPr>
                <w:rFonts w:ascii="宋体" w:cs="宋体"/>
                <w:sz w:val="22"/>
                <w:szCs w:val="22"/>
              </w:rPr>
            </w:pPr>
            <w:r>
              <w:rPr>
                <w:rFonts w:hint="eastAsia" w:ascii="宋体" w:cs="宋体"/>
                <w:kern w:val="0"/>
                <w:sz w:val="22"/>
                <w:szCs w:val="22"/>
              </w:rPr>
              <w:t>裸土及易起尘物料覆盖</w:t>
            </w:r>
          </w:p>
        </w:tc>
        <w:tc>
          <w:tcPr>
            <w:tcW w:w="6355"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240" w:lineRule="exact"/>
              <w:textAlignment w:val="center"/>
              <w:rPr>
                <w:rFonts w:hint="eastAsia" w:ascii="宋体" w:cs="宋体"/>
                <w:kern w:val="0"/>
                <w:szCs w:val="21"/>
              </w:rPr>
            </w:pPr>
            <w:r>
              <w:rPr>
                <w:rFonts w:hint="eastAsia" w:ascii="宋体" w:cs="宋体"/>
                <w:kern w:val="0"/>
                <w:szCs w:val="21"/>
              </w:rPr>
              <w:t>施工现场裸土未采取防尘网、人工草皮、抑尘剂、种植绿植覆盖或进行硬化、固化等处理的，扣5分；</w:t>
            </w:r>
          </w:p>
          <w:p>
            <w:pPr>
              <w:widowControl/>
              <w:numPr>
                <w:ilvl w:val="0"/>
                <w:numId w:val="0"/>
              </w:numPr>
              <w:spacing w:line="240" w:lineRule="exact"/>
              <w:jc w:val="left"/>
              <w:textAlignment w:val="center"/>
              <w:rPr>
                <w:rFonts w:hint="eastAsia"/>
              </w:rPr>
            </w:pPr>
            <w:r>
              <w:rPr>
                <w:rFonts w:hint="eastAsia" w:ascii="宋体" w:hAnsi="宋体" w:eastAsia="宋体" w:cs="宋体"/>
                <w:kern w:val="0"/>
                <w:szCs w:val="21"/>
                <w:lang w:val="en-US" w:eastAsia="zh-CN" w:bidi="ar"/>
              </w:rPr>
              <w:t>裸露3个月</w:t>
            </w:r>
            <w:r>
              <w:rPr>
                <w:rFonts w:hint="eastAsia" w:ascii="宋体" w:hAnsi="宋体" w:cs="宋体"/>
                <w:kern w:val="0"/>
                <w:szCs w:val="21"/>
                <w:lang w:val="en-US" w:eastAsia="zh-CN" w:bidi="ar"/>
              </w:rPr>
              <w:t>及</w:t>
            </w:r>
            <w:r>
              <w:rPr>
                <w:rFonts w:hint="eastAsia" w:ascii="宋体" w:hAnsi="宋体" w:eastAsia="宋体" w:cs="宋体"/>
                <w:kern w:val="0"/>
                <w:szCs w:val="21"/>
                <w:lang w:val="en-US" w:eastAsia="zh-CN" w:bidi="ar"/>
              </w:rPr>
              <w:t>以上施工区域空地未采取种草等绿化方式的，扣5分；</w:t>
            </w:r>
          </w:p>
          <w:p>
            <w:pPr>
              <w:widowControl/>
              <w:spacing w:line="240" w:lineRule="exact"/>
              <w:textAlignment w:val="center"/>
              <w:rPr>
                <w:rFonts w:hint="eastAsia" w:ascii="宋体" w:cs="宋体"/>
                <w:kern w:val="0"/>
                <w:szCs w:val="21"/>
              </w:rPr>
            </w:pPr>
            <w:r>
              <w:rPr>
                <w:rFonts w:hint="eastAsia" w:ascii="宋体" w:cs="宋体"/>
                <w:kern w:val="0"/>
                <w:szCs w:val="21"/>
              </w:rPr>
              <w:t>施工现场储存、装卸、运输易产生扬尘污染的物料未采取遮盖、入库、封闭、洒水等有效措施的，每处扣5分；</w:t>
            </w:r>
          </w:p>
          <w:p>
            <w:pPr>
              <w:widowControl/>
              <w:spacing w:line="240" w:lineRule="exact"/>
              <w:textAlignment w:val="center"/>
            </w:pPr>
            <w:r>
              <w:rPr>
                <w:rFonts w:hint="eastAsia" w:ascii="宋体" w:cs="宋体"/>
                <w:kern w:val="0"/>
                <w:szCs w:val="21"/>
              </w:rPr>
              <w:t>施工现场未使用预拌混凝土及预拌砂浆的，每处扣5分。</w:t>
            </w:r>
          </w:p>
        </w:tc>
        <w:tc>
          <w:tcPr>
            <w:tcW w:w="626" w:type="dxa"/>
            <w:vMerge w:val="continue"/>
            <w:tcBorders>
              <w:left w:val="single" w:color="000000" w:sz="4" w:space="0"/>
              <w:right w:val="single" w:color="000000" w:sz="4" w:space="0"/>
            </w:tcBorders>
            <w:shd w:val="clear" w:color="auto" w:fill="auto"/>
            <w:noWrap/>
            <w:vAlign w:val="center"/>
          </w:tcPr>
          <w:p>
            <w:pPr>
              <w:widowControl/>
              <w:jc w:val="center"/>
              <w:textAlignment w:val="center"/>
              <w:rPr>
                <w:rFonts w:ascii="宋体" w:cs="宋体"/>
                <w:sz w:val="22"/>
                <w:szCs w:val="22"/>
              </w:rPr>
            </w:pPr>
          </w:p>
        </w:tc>
        <w:tc>
          <w:tcPr>
            <w:tcW w:w="655" w:type="dxa"/>
            <w:vMerge w:val="continue"/>
            <w:tcBorders>
              <w:left w:val="single" w:color="000000" w:sz="4" w:space="0"/>
              <w:right w:val="single" w:color="auto" w:sz="4" w:space="0"/>
            </w:tcBorders>
            <w:shd w:val="clear" w:color="auto" w:fill="auto"/>
            <w:noWrap/>
            <w:vAlign w:val="center"/>
          </w:tcPr>
          <w:p>
            <w:pPr>
              <w:rPr>
                <w:rFonts w:ascii="宋体" w:cs="宋体"/>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54" w:type="dxa"/>
          <w:trHeight w:val="896" w:hRule="atLeast"/>
        </w:trPr>
        <w:tc>
          <w:tcPr>
            <w:tcW w:w="65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hint="default" w:ascii="宋体" w:eastAsia="宋体" w:cs="宋体"/>
                <w:sz w:val="22"/>
                <w:szCs w:val="22"/>
                <w:lang w:val="en-US" w:eastAsia="zh-CN"/>
              </w:rPr>
            </w:pPr>
            <w:r>
              <w:rPr>
                <w:rFonts w:hint="eastAsia" w:ascii="宋体" w:cs="宋体"/>
                <w:kern w:val="0"/>
                <w:sz w:val="22"/>
                <w:szCs w:val="22"/>
                <w:lang w:val="en-US" w:eastAsia="zh-CN"/>
              </w:rPr>
              <w:t>13</w:t>
            </w:r>
          </w:p>
        </w:tc>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tc>
        <w:tc>
          <w:tcPr>
            <w:tcW w:w="782" w:type="dxa"/>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textAlignment w:val="center"/>
              <w:rPr>
                <w:rFonts w:ascii="宋体" w:cs="宋体"/>
                <w:sz w:val="22"/>
                <w:szCs w:val="22"/>
              </w:rPr>
            </w:pPr>
            <w:r>
              <w:rPr>
                <w:rFonts w:hint="eastAsia" w:ascii="宋体" w:cs="宋体"/>
                <w:kern w:val="0"/>
                <w:sz w:val="22"/>
                <w:szCs w:val="22"/>
              </w:rPr>
              <w:t>现场保洁</w:t>
            </w:r>
          </w:p>
        </w:tc>
        <w:tc>
          <w:tcPr>
            <w:tcW w:w="63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textAlignment w:val="center"/>
            </w:pPr>
            <w:r>
              <w:rPr>
                <w:rFonts w:hint="eastAsia" w:ascii="宋体" w:cs="宋体"/>
                <w:kern w:val="0"/>
                <w:szCs w:val="21"/>
              </w:rPr>
              <w:t>未对施工主要道路、围挡、加工区、材料堆放区和办公区、生活区等部位定期进行保洁清扫的，扣</w:t>
            </w:r>
            <w:r>
              <w:rPr>
                <w:rFonts w:ascii="宋体" w:cs="宋体"/>
                <w:kern w:val="0"/>
                <w:szCs w:val="21"/>
              </w:rPr>
              <w:t>3</w:t>
            </w:r>
            <w:r>
              <w:rPr>
                <w:rFonts w:hint="eastAsia" w:ascii="宋体" w:cs="宋体"/>
                <w:kern w:val="0"/>
                <w:szCs w:val="21"/>
              </w:rPr>
              <w:t>分</w:t>
            </w:r>
            <w:r>
              <w:rPr>
                <w:rFonts w:ascii="宋体" w:cs="宋体"/>
                <w:kern w:val="0"/>
                <w:szCs w:val="21"/>
              </w:rPr>
              <w:t>。</w:t>
            </w:r>
          </w:p>
        </w:tc>
        <w:tc>
          <w:tcPr>
            <w:tcW w:w="626" w:type="dxa"/>
            <w:vMerge w:val="continue"/>
            <w:tcBorders>
              <w:left w:val="single" w:color="000000" w:sz="4" w:space="0"/>
              <w:right w:val="single" w:color="000000" w:sz="4" w:space="0"/>
            </w:tcBorders>
            <w:shd w:val="clear" w:color="auto" w:fill="auto"/>
            <w:noWrap/>
            <w:vAlign w:val="center"/>
          </w:tcPr>
          <w:p>
            <w:pPr>
              <w:widowControl/>
              <w:jc w:val="center"/>
              <w:textAlignment w:val="center"/>
              <w:rPr>
                <w:rFonts w:ascii="宋体" w:cs="宋体"/>
                <w:sz w:val="22"/>
                <w:szCs w:val="22"/>
              </w:rPr>
            </w:pPr>
          </w:p>
        </w:tc>
        <w:tc>
          <w:tcPr>
            <w:tcW w:w="655" w:type="dxa"/>
            <w:vMerge w:val="continue"/>
            <w:tcBorders>
              <w:left w:val="single" w:color="000000" w:sz="4" w:space="0"/>
              <w:right w:val="single" w:color="auto" w:sz="4" w:space="0"/>
            </w:tcBorders>
            <w:shd w:val="clear" w:color="auto" w:fill="auto"/>
            <w:noWrap/>
            <w:vAlign w:val="center"/>
          </w:tcPr>
          <w:p>
            <w:pPr>
              <w:rPr>
                <w:rFonts w:ascii="宋体" w:cs="宋体"/>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54" w:type="dxa"/>
          <w:trHeight w:val="1352" w:hRule="atLeast"/>
        </w:trPr>
        <w:tc>
          <w:tcPr>
            <w:tcW w:w="656"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default" w:ascii="宋体" w:eastAsia="宋体" w:cs="宋体"/>
                <w:sz w:val="22"/>
                <w:szCs w:val="22"/>
                <w:lang w:val="en-US" w:eastAsia="zh-CN"/>
              </w:rPr>
            </w:pPr>
            <w:r>
              <w:rPr>
                <w:rFonts w:hint="eastAsia" w:ascii="宋体" w:cs="宋体"/>
                <w:kern w:val="0"/>
                <w:sz w:val="22"/>
                <w:szCs w:val="22"/>
                <w:lang w:val="en-US" w:eastAsia="zh-CN"/>
              </w:rPr>
              <w:t>14</w:t>
            </w:r>
          </w:p>
        </w:tc>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tc>
        <w:tc>
          <w:tcPr>
            <w:tcW w:w="782"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cs="宋体"/>
                <w:sz w:val="22"/>
                <w:szCs w:val="22"/>
              </w:rPr>
            </w:pPr>
            <w:r>
              <w:rPr>
                <w:rFonts w:hint="eastAsia" w:ascii="宋体" w:cs="宋体"/>
                <w:kern w:val="0"/>
                <w:sz w:val="22"/>
                <w:szCs w:val="22"/>
              </w:rPr>
              <w:t>渣土运输</w:t>
            </w:r>
          </w:p>
        </w:tc>
        <w:tc>
          <w:tcPr>
            <w:tcW w:w="63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textAlignment w:val="center"/>
              <w:rPr>
                <w:rFonts w:hint="eastAsia" w:ascii="宋体" w:cs="宋体"/>
                <w:kern w:val="0"/>
                <w:szCs w:val="21"/>
              </w:rPr>
            </w:pPr>
            <w:r>
              <w:rPr>
                <w:rFonts w:hint="eastAsia" w:ascii="宋体" w:cs="宋体"/>
                <w:kern w:val="0"/>
                <w:szCs w:val="21"/>
              </w:rPr>
              <w:t>渣土运输未办理处置、准运等核准手续的，扣</w:t>
            </w:r>
            <w:r>
              <w:rPr>
                <w:rFonts w:hint="eastAsia" w:ascii="宋体" w:cs="宋体"/>
                <w:kern w:val="0"/>
                <w:szCs w:val="21"/>
                <w:lang w:val="en-US" w:eastAsia="zh-CN"/>
              </w:rPr>
              <w:t>5</w:t>
            </w:r>
            <w:r>
              <w:rPr>
                <w:rFonts w:hint="eastAsia" w:ascii="宋体" w:cs="宋体"/>
                <w:kern w:val="0"/>
                <w:szCs w:val="21"/>
              </w:rPr>
              <w:t>分；</w:t>
            </w:r>
          </w:p>
          <w:p>
            <w:pPr>
              <w:widowControl/>
              <w:spacing w:line="240" w:lineRule="exact"/>
              <w:textAlignment w:val="center"/>
              <w:rPr>
                <w:rFonts w:hint="eastAsia" w:ascii="宋体" w:cs="宋体"/>
                <w:kern w:val="0"/>
                <w:szCs w:val="21"/>
              </w:rPr>
            </w:pPr>
            <w:r>
              <w:rPr>
                <w:rFonts w:hint="eastAsia" w:ascii="宋体" w:cs="宋体"/>
                <w:kern w:val="0"/>
                <w:szCs w:val="21"/>
              </w:rPr>
              <w:t>未使用密闭加盖渣土运输车辆的有超载、撒漏现象的，扣8分；</w:t>
            </w:r>
          </w:p>
          <w:p>
            <w:pPr>
              <w:widowControl/>
              <w:spacing w:line="240" w:lineRule="exact"/>
              <w:textAlignment w:val="center"/>
              <w:rPr>
                <w:rFonts w:hint="eastAsia" w:ascii="宋体" w:cs="宋体"/>
                <w:kern w:val="0"/>
                <w:szCs w:val="21"/>
              </w:rPr>
            </w:pPr>
            <w:r>
              <w:rPr>
                <w:rFonts w:hint="eastAsia" w:ascii="宋体" w:cs="宋体"/>
                <w:kern w:val="0"/>
                <w:szCs w:val="21"/>
              </w:rPr>
              <w:t>施工现场渣土堆载高度超过围挡高度未有效覆盖的，扣3分。</w:t>
            </w:r>
          </w:p>
        </w:tc>
        <w:tc>
          <w:tcPr>
            <w:tcW w:w="626" w:type="dxa"/>
            <w:vMerge w:val="continue"/>
            <w:tcBorders>
              <w:left w:val="single" w:color="000000" w:sz="4" w:space="0"/>
              <w:right w:val="single" w:color="000000" w:sz="4" w:space="0"/>
            </w:tcBorders>
            <w:shd w:val="clear" w:color="auto" w:fill="auto"/>
            <w:noWrap/>
            <w:vAlign w:val="center"/>
          </w:tcPr>
          <w:p>
            <w:pPr>
              <w:widowControl/>
              <w:jc w:val="center"/>
              <w:textAlignment w:val="center"/>
              <w:rPr>
                <w:rFonts w:ascii="宋体" w:cs="宋体"/>
                <w:sz w:val="22"/>
                <w:szCs w:val="22"/>
              </w:rPr>
            </w:pPr>
          </w:p>
        </w:tc>
        <w:tc>
          <w:tcPr>
            <w:tcW w:w="655" w:type="dxa"/>
            <w:vMerge w:val="continue"/>
            <w:tcBorders>
              <w:left w:val="single" w:color="000000" w:sz="4" w:space="0"/>
              <w:right w:val="single" w:color="auto" w:sz="4" w:space="0"/>
            </w:tcBorders>
            <w:shd w:val="clear" w:color="auto" w:fill="auto"/>
            <w:noWrap/>
            <w:vAlign w:val="center"/>
          </w:tcPr>
          <w:p>
            <w:pPr>
              <w:rPr>
                <w:rFonts w:ascii="宋体" w:cs="宋体"/>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54" w:type="dxa"/>
          <w:trHeight w:val="9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default" w:ascii="宋体" w:eastAsia="宋体" w:cs="宋体"/>
                <w:sz w:val="22"/>
                <w:szCs w:val="22"/>
                <w:lang w:val="en-US" w:eastAsia="zh-CN"/>
              </w:rPr>
            </w:pPr>
            <w:r>
              <w:rPr>
                <w:rFonts w:hint="eastAsia" w:ascii="宋体" w:cs="宋体"/>
                <w:kern w:val="0"/>
                <w:sz w:val="22"/>
                <w:szCs w:val="22"/>
                <w:lang w:val="en-US" w:eastAsia="zh-CN"/>
              </w:rPr>
              <w:t>15</w:t>
            </w:r>
          </w:p>
        </w:tc>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cs="宋体"/>
                <w:sz w:val="22"/>
                <w:szCs w:val="22"/>
              </w:rPr>
            </w:pPr>
            <w:r>
              <w:rPr>
                <w:rFonts w:hint="eastAsia" w:ascii="宋体" w:cs="宋体"/>
                <w:kern w:val="0"/>
                <w:sz w:val="22"/>
                <w:szCs w:val="22"/>
              </w:rPr>
              <w:t>喷淋降尘</w:t>
            </w:r>
          </w:p>
        </w:tc>
        <w:tc>
          <w:tcPr>
            <w:tcW w:w="63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textAlignment w:val="center"/>
              <w:rPr>
                <w:rFonts w:hint="eastAsia" w:ascii="宋体" w:cs="宋体"/>
                <w:kern w:val="0"/>
                <w:szCs w:val="21"/>
              </w:rPr>
            </w:pPr>
            <w:r>
              <w:rPr>
                <w:rFonts w:hint="eastAsia" w:ascii="宋体" w:cs="宋体"/>
                <w:kern w:val="0"/>
                <w:szCs w:val="21"/>
              </w:rPr>
              <w:t>在土（石）方开挖、爆破、回填、整平、运输、卸载、地基处理等施工过程中，未进行湿法作业，现场未采取喷雾、洒水等措施的，扣</w:t>
            </w:r>
            <w:r>
              <w:rPr>
                <w:rFonts w:hint="eastAsia" w:ascii="宋体" w:cs="宋体"/>
                <w:kern w:val="0"/>
                <w:szCs w:val="21"/>
                <w:lang w:val="en-US" w:eastAsia="zh-CN"/>
              </w:rPr>
              <w:t>8</w:t>
            </w:r>
            <w:r>
              <w:rPr>
                <w:rFonts w:hint="eastAsia" w:ascii="宋体" w:cs="宋体"/>
                <w:kern w:val="0"/>
                <w:szCs w:val="21"/>
              </w:rPr>
              <w:t>分；</w:t>
            </w:r>
          </w:p>
          <w:p>
            <w:pPr>
              <w:widowControl/>
              <w:spacing w:line="240" w:lineRule="exact"/>
              <w:textAlignment w:val="center"/>
              <w:rPr>
                <w:rFonts w:hint="eastAsia" w:ascii="宋体" w:cs="宋体"/>
                <w:kern w:val="0"/>
                <w:szCs w:val="21"/>
              </w:rPr>
            </w:pPr>
            <w:r>
              <w:rPr>
                <w:rFonts w:hint="eastAsia" w:ascii="宋体" w:cs="宋体"/>
                <w:kern w:val="0"/>
                <w:szCs w:val="21"/>
              </w:rPr>
              <w:t>露天场站、明挖车站基坑四周及易产生扬尘的施工区域周围未采取有效措施抑尘的，扣5分；</w:t>
            </w:r>
          </w:p>
          <w:p>
            <w:pPr>
              <w:widowControl/>
              <w:spacing w:line="240" w:lineRule="exact"/>
              <w:textAlignment w:val="center"/>
              <w:rPr>
                <w:rFonts w:hint="eastAsia" w:ascii="宋体" w:eastAsia="宋体" w:cs="宋体"/>
                <w:kern w:val="0"/>
                <w:szCs w:val="21"/>
                <w:lang w:eastAsia="zh-CN"/>
              </w:rPr>
            </w:pPr>
            <w:r>
              <w:rPr>
                <w:rFonts w:hint="eastAsia" w:ascii="宋体" w:cs="宋体"/>
                <w:kern w:val="0"/>
                <w:szCs w:val="21"/>
              </w:rPr>
              <w:t>旋喷桩等易产生泥浆的施工作业未采取有效措施控制泥浆飞溅的，扣5分</w:t>
            </w:r>
            <w:r>
              <w:rPr>
                <w:rFonts w:hint="eastAsia" w:ascii="宋体" w:cs="宋体"/>
                <w:kern w:val="0"/>
                <w:szCs w:val="21"/>
                <w:lang w:eastAsia="zh-CN"/>
              </w:rPr>
              <w:t>。</w:t>
            </w:r>
          </w:p>
        </w:tc>
        <w:tc>
          <w:tcPr>
            <w:tcW w:w="626" w:type="dxa"/>
            <w:vMerge w:val="continue"/>
            <w:tcBorders>
              <w:left w:val="single" w:color="000000" w:sz="4" w:space="0"/>
              <w:right w:val="single" w:color="000000" w:sz="4" w:space="0"/>
            </w:tcBorders>
            <w:shd w:val="clear" w:color="auto" w:fill="auto"/>
            <w:noWrap/>
            <w:vAlign w:val="center"/>
          </w:tcPr>
          <w:p>
            <w:pPr>
              <w:widowControl/>
              <w:jc w:val="center"/>
              <w:textAlignment w:val="center"/>
              <w:rPr>
                <w:rFonts w:ascii="宋体" w:cs="宋体"/>
                <w:sz w:val="22"/>
                <w:szCs w:val="22"/>
              </w:rPr>
            </w:pPr>
          </w:p>
        </w:tc>
        <w:tc>
          <w:tcPr>
            <w:tcW w:w="655" w:type="dxa"/>
            <w:vMerge w:val="continue"/>
            <w:tcBorders>
              <w:left w:val="single" w:color="000000" w:sz="4" w:space="0"/>
              <w:right w:val="single" w:color="auto" w:sz="4" w:space="0"/>
            </w:tcBorders>
            <w:shd w:val="clear" w:color="auto" w:fill="auto"/>
            <w:noWrap/>
            <w:vAlign w:val="center"/>
          </w:tcPr>
          <w:p>
            <w:pPr>
              <w:rPr>
                <w:rFonts w:ascii="宋体" w:cs="宋体"/>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54" w:type="dxa"/>
          <w:trHeight w:val="1263" w:hRule="atLeast"/>
        </w:trPr>
        <w:tc>
          <w:tcPr>
            <w:tcW w:w="656"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widowControl/>
              <w:jc w:val="center"/>
              <w:textAlignment w:val="center"/>
              <w:rPr>
                <w:rFonts w:hint="default" w:ascii="宋体" w:eastAsia="宋体" w:cs="宋体"/>
                <w:sz w:val="22"/>
                <w:szCs w:val="22"/>
                <w:lang w:val="en-US" w:eastAsia="zh-CN"/>
              </w:rPr>
            </w:pPr>
            <w:r>
              <w:rPr>
                <w:rFonts w:hint="eastAsia" w:ascii="宋体" w:cs="宋体"/>
                <w:kern w:val="0"/>
                <w:sz w:val="22"/>
                <w:szCs w:val="22"/>
                <w:lang w:val="en-US" w:eastAsia="zh-CN"/>
              </w:rPr>
              <w:t>16</w:t>
            </w:r>
          </w:p>
        </w:tc>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tc>
        <w:tc>
          <w:tcPr>
            <w:tcW w:w="782"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jc w:val="center"/>
              <w:textAlignment w:val="center"/>
              <w:rPr>
                <w:rFonts w:hint="eastAsia" w:ascii="宋体" w:cs="宋体"/>
                <w:kern w:val="0"/>
                <w:sz w:val="22"/>
                <w:szCs w:val="22"/>
              </w:rPr>
            </w:pPr>
          </w:p>
          <w:p>
            <w:pPr>
              <w:widowControl/>
              <w:jc w:val="center"/>
              <w:textAlignment w:val="center"/>
              <w:rPr>
                <w:rFonts w:hint="eastAsia" w:ascii="宋体" w:cs="宋体"/>
                <w:kern w:val="0"/>
                <w:sz w:val="22"/>
                <w:szCs w:val="22"/>
              </w:rPr>
            </w:pPr>
          </w:p>
          <w:p>
            <w:pPr>
              <w:widowControl/>
              <w:jc w:val="center"/>
              <w:textAlignment w:val="center"/>
              <w:rPr>
                <w:rFonts w:hint="eastAsia" w:ascii="宋体" w:cs="宋体"/>
                <w:kern w:val="0"/>
                <w:sz w:val="22"/>
                <w:szCs w:val="22"/>
              </w:rPr>
            </w:pPr>
            <w:r>
              <w:rPr>
                <w:rFonts w:hint="eastAsia" w:ascii="宋体" w:cs="宋体"/>
                <w:kern w:val="0"/>
                <w:sz w:val="22"/>
                <w:szCs w:val="22"/>
              </w:rPr>
              <w:t>扬尘在线监测系统</w:t>
            </w:r>
          </w:p>
          <w:p>
            <w:pPr>
              <w:pStyle w:val="2"/>
              <w:rPr>
                <w:rFonts w:hint="eastAsia" w:ascii="宋体" w:cs="宋体"/>
                <w:kern w:val="0"/>
                <w:sz w:val="22"/>
                <w:szCs w:val="22"/>
              </w:rPr>
            </w:pPr>
          </w:p>
          <w:p>
            <w:pPr>
              <w:pStyle w:val="2"/>
              <w:rPr>
                <w:rFonts w:hint="eastAsia" w:ascii="宋体" w:cs="宋体"/>
                <w:kern w:val="0"/>
                <w:sz w:val="22"/>
                <w:szCs w:val="22"/>
              </w:rPr>
            </w:pPr>
          </w:p>
          <w:p>
            <w:pPr>
              <w:pStyle w:val="2"/>
              <w:rPr>
                <w:rFonts w:hint="eastAsia" w:ascii="宋体" w:cs="宋体"/>
                <w:kern w:val="0"/>
                <w:sz w:val="22"/>
                <w:szCs w:val="22"/>
              </w:rPr>
            </w:pPr>
          </w:p>
          <w:p>
            <w:pPr>
              <w:pStyle w:val="2"/>
              <w:rPr>
                <w:rFonts w:hint="eastAsia" w:ascii="宋体" w:cs="宋体"/>
                <w:kern w:val="0"/>
                <w:sz w:val="22"/>
                <w:szCs w:val="22"/>
              </w:rPr>
            </w:pPr>
          </w:p>
        </w:tc>
        <w:tc>
          <w:tcPr>
            <w:tcW w:w="6355"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240" w:lineRule="exact"/>
              <w:textAlignment w:val="center"/>
              <w:rPr>
                <w:rFonts w:hint="eastAsia" w:ascii="宋体" w:eastAsia="宋体" w:cs="宋体"/>
                <w:kern w:val="0"/>
                <w:szCs w:val="21"/>
                <w:lang w:eastAsia="zh-CN"/>
              </w:rPr>
            </w:pPr>
            <w:r>
              <w:rPr>
                <w:rFonts w:hint="eastAsia" w:ascii="宋体" w:cs="宋体"/>
                <w:kern w:val="0"/>
                <w:szCs w:val="21"/>
              </w:rPr>
              <w:t>施工现场未安装扬尘、噪音在线监测系统，未定期维护保养，确保设备运行、数据传输正常的，扣</w:t>
            </w:r>
            <w:r>
              <w:rPr>
                <w:rFonts w:ascii="宋体" w:cs="宋体"/>
                <w:kern w:val="0"/>
                <w:szCs w:val="21"/>
              </w:rPr>
              <w:t>3</w:t>
            </w:r>
            <w:r>
              <w:rPr>
                <w:rFonts w:hint="eastAsia" w:ascii="宋体" w:cs="宋体"/>
                <w:kern w:val="0"/>
                <w:szCs w:val="21"/>
              </w:rPr>
              <w:t>分</w:t>
            </w:r>
            <w:r>
              <w:rPr>
                <w:rFonts w:hint="eastAsia" w:ascii="宋体" w:cs="宋体"/>
                <w:kern w:val="0"/>
                <w:szCs w:val="21"/>
                <w:lang w:eastAsia="zh-CN"/>
              </w:rPr>
              <w:t>。</w:t>
            </w:r>
          </w:p>
        </w:tc>
        <w:tc>
          <w:tcPr>
            <w:tcW w:w="626" w:type="dxa"/>
            <w:vMerge w:val="continue"/>
            <w:tcBorders>
              <w:left w:val="single" w:color="000000" w:sz="4" w:space="0"/>
              <w:bottom w:val="single" w:color="auto" w:sz="4" w:space="0"/>
              <w:right w:val="single" w:color="000000" w:sz="4" w:space="0"/>
            </w:tcBorders>
            <w:shd w:val="clear" w:color="auto" w:fill="auto"/>
            <w:noWrap/>
            <w:vAlign w:val="center"/>
          </w:tcPr>
          <w:p>
            <w:pPr>
              <w:widowControl/>
              <w:jc w:val="center"/>
              <w:textAlignment w:val="center"/>
              <w:rPr>
                <w:rFonts w:ascii="宋体" w:cs="宋体"/>
                <w:sz w:val="22"/>
                <w:szCs w:val="22"/>
              </w:rPr>
            </w:pPr>
          </w:p>
        </w:tc>
        <w:tc>
          <w:tcPr>
            <w:tcW w:w="655" w:type="dxa"/>
            <w:vMerge w:val="continue"/>
            <w:tcBorders>
              <w:left w:val="single" w:color="000000" w:sz="4" w:space="0"/>
              <w:bottom w:val="single" w:color="auto" w:sz="4" w:space="0"/>
              <w:right w:val="single" w:color="auto" w:sz="4" w:space="0"/>
            </w:tcBorders>
            <w:shd w:val="clear" w:color="auto" w:fill="auto"/>
            <w:noWrap/>
            <w:vAlign w:val="center"/>
          </w:tcPr>
          <w:p>
            <w:pPr>
              <w:rPr>
                <w:rFonts w:ascii="宋体" w:cs="宋体"/>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54" w:type="dxa"/>
          <w:trHeight w:val="983" w:hRule="atLeast"/>
        </w:trPr>
        <w:tc>
          <w:tcPr>
            <w:tcW w:w="656"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default" w:ascii="宋体" w:eastAsia="宋体" w:cs="宋体"/>
                <w:sz w:val="22"/>
                <w:szCs w:val="22"/>
                <w:lang w:val="en-US" w:eastAsia="zh-CN"/>
              </w:rPr>
            </w:pPr>
            <w:r>
              <w:rPr>
                <w:rFonts w:hint="eastAsia" w:ascii="宋体" w:cs="宋体"/>
                <w:kern w:val="0"/>
                <w:sz w:val="22"/>
                <w:szCs w:val="22"/>
                <w:lang w:val="en-US" w:eastAsia="zh-CN"/>
              </w:rPr>
              <w:t>17</w:t>
            </w:r>
          </w:p>
        </w:tc>
        <w:tc>
          <w:tcPr>
            <w:tcW w:w="109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lang w:eastAsia="zh-CN"/>
              </w:rPr>
            </w:pPr>
          </w:p>
          <w:p>
            <w:pPr>
              <w:rPr>
                <w:rFonts w:hint="eastAsia" w:eastAsia="宋体"/>
                <w:lang w:eastAsia="zh-CN"/>
              </w:rPr>
            </w:pPr>
            <w:r>
              <w:rPr>
                <w:rFonts w:hint="eastAsia"/>
                <w:lang w:eastAsia="zh-CN"/>
              </w:rPr>
              <w:t>宿舍区域</w:t>
            </w:r>
          </w:p>
        </w:tc>
        <w:tc>
          <w:tcPr>
            <w:tcW w:w="782"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240" w:lineRule="exact"/>
              <w:textAlignment w:val="center"/>
              <w:rPr>
                <w:rFonts w:hint="eastAsia" w:ascii="宋体" w:cs="宋体"/>
                <w:kern w:val="0"/>
                <w:szCs w:val="21"/>
              </w:rPr>
            </w:pPr>
            <w:r>
              <w:rPr>
                <w:rFonts w:hint="eastAsia" w:ascii="宋体" w:cs="宋体"/>
                <w:kern w:val="0"/>
                <w:szCs w:val="21"/>
              </w:rPr>
              <w:t>宿舍</w:t>
            </w:r>
          </w:p>
        </w:tc>
        <w:tc>
          <w:tcPr>
            <w:tcW w:w="6355"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240" w:lineRule="exact"/>
              <w:textAlignment w:val="center"/>
              <w:rPr>
                <w:rFonts w:hint="eastAsia" w:ascii="宋体" w:cs="宋体"/>
                <w:kern w:val="0"/>
                <w:szCs w:val="21"/>
              </w:rPr>
            </w:pPr>
            <w:r>
              <w:rPr>
                <w:rFonts w:hint="eastAsia" w:ascii="宋体" w:cs="宋体"/>
                <w:kern w:val="0"/>
                <w:szCs w:val="21"/>
              </w:rPr>
              <w:t>宿舍居住人数超过规定要求，扣3分；</w:t>
            </w:r>
          </w:p>
          <w:p>
            <w:pPr>
              <w:widowControl/>
              <w:spacing w:line="240" w:lineRule="exact"/>
              <w:textAlignment w:val="center"/>
              <w:rPr>
                <w:rFonts w:hint="eastAsia" w:ascii="宋体" w:eastAsia="宋体" w:cs="宋体"/>
                <w:kern w:val="0"/>
                <w:szCs w:val="21"/>
                <w:lang w:eastAsia="zh-CN"/>
              </w:rPr>
            </w:pPr>
            <w:r>
              <w:rPr>
                <w:rFonts w:hint="eastAsia" w:ascii="宋体" w:cs="宋体"/>
                <w:kern w:val="0"/>
                <w:szCs w:val="21"/>
              </w:rPr>
              <w:t>宿舍未设置可开启窗户，通风采光差，不整洁的，扣2分</w:t>
            </w:r>
            <w:r>
              <w:rPr>
                <w:rFonts w:hint="eastAsia" w:ascii="宋体" w:cs="宋体"/>
                <w:kern w:val="0"/>
                <w:szCs w:val="21"/>
                <w:lang w:eastAsia="zh-CN"/>
              </w:rPr>
              <w:t>。</w:t>
            </w:r>
          </w:p>
        </w:tc>
        <w:tc>
          <w:tcPr>
            <w:tcW w:w="626" w:type="dxa"/>
            <w:vMerge w:val="restart"/>
            <w:tcBorders>
              <w:top w:val="single" w:color="auto" w:sz="4" w:space="0"/>
              <w:left w:val="single" w:color="000000" w:sz="4" w:space="0"/>
              <w:right w:val="single" w:color="000000" w:sz="4" w:space="0"/>
            </w:tcBorders>
            <w:shd w:val="clear" w:color="auto" w:fill="auto"/>
            <w:noWrap/>
            <w:vAlign w:val="center"/>
          </w:tcPr>
          <w:p>
            <w:pPr>
              <w:widowControl/>
              <w:jc w:val="both"/>
              <w:textAlignment w:val="center"/>
              <w:rPr>
                <w:rFonts w:ascii="宋体" w:cs="宋体"/>
                <w:kern w:val="0"/>
                <w:sz w:val="22"/>
                <w:szCs w:val="22"/>
              </w:rPr>
            </w:pPr>
            <w:r>
              <w:rPr>
                <w:rFonts w:hint="eastAsia" w:ascii="宋体" w:cs="宋体"/>
                <w:kern w:val="0"/>
                <w:sz w:val="22"/>
                <w:szCs w:val="22"/>
                <w:lang w:val="en-US" w:eastAsia="zh-CN"/>
              </w:rPr>
              <w:t>10</w:t>
            </w:r>
            <w:r>
              <w:rPr>
                <w:rFonts w:ascii="宋体" w:cs="宋体"/>
                <w:kern w:val="0"/>
                <w:sz w:val="22"/>
                <w:szCs w:val="22"/>
              </w:rPr>
              <w:t xml:space="preserve"> </w:t>
            </w:r>
          </w:p>
        </w:tc>
        <w:tc>
          <w:tcPr>
            <w:tcW w:w="655" w:type="dxa"/>
            <w:vMerge w:val="restart"/>
            <w:tcBorders>
              <w:top w:val="single" w:color="auto" w:sz="4" w:space="0"/>
              <w:left w:val="single" w:color="000000" w:sz="4" w:space="0"/>
              <w:right w:val="single" w:color="000000" w:sz="4" w:space="0"/>
            </w:tcBorders>
            <w:shd w:val="clear" w:color="auto" w:fill="auto"/>
            <w:noWrap/>
            <w:vAlign w:val="center"/>
          </w:tcPr>
          <w:p>
            <w:pPr>
              <w:rPr>
                <w:rFonts w:ascii="宋体" w:cs="宋体"/>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54" w:type="dxa"/>
          <w:trHeight w:val="939" w:hRule="atLeast"/>
        </w:trPr>
        <w:tc>
          <w:tcPr>
            <w:tcW w:w="656"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default" w:ascii="宋体" w:eastAsia="宋体" w:cs="宋体"/>
                <w:sz w:val="22"/>
                <w:szCs w:val="22"/>
                <w:lang w:val="en-US" w:eastAsia="zh-CN"/>
              </w:rPr>
            </w:pPr>
            <w:r>
              <w:rPr>
                <w:rFonts w:hint="eastAsia" w:ascii="宋体" w:cs="宋体"/>
                <w:sz w:val="22"/>
                <w:szCs w:val="22"/>
                <w:lang w:val="en-US" w:eastAsia="zh-CN"/>
              </w:rPr>
              <w:t>18</w:t>
            </w:r>
          </w:p>
        </w:tc>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tc>
        <w:tc>
          <w:tcPr>
            <w:tcW w:w="782"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240" w:lineRule="exact"/>
              <w:textAlignment w:val="center"/>
              <w:rPr>
                <w:rFonts w:hint="eastAsia" w:ascii="宋体" w:cs="宋体"/>
                <w:kern w:val="0"/>
                <w:szCs w:val="21"/>
              </w:rPr>
            </w:pPr>
            <w:r>
              <w:rPr>
                <w:rFonts w:hint="eastAsia" w:ascii="宋体" w:cs="宋体"/>
                <w:kern w:val="0"/>
                <w:szCs w:val="21"/>
              </w:rPr>
              <w:t>公共厕所</w:t>
            </w:r>
          </w:p>
        </w:tc>
        <w:tc>
          <w:tcPr>
            <w:tcW w:w="6355"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240" w:lineRule="exact"/>
              <w:textAlignment w:val="center"/>
              <w:rPr>
                <w:rFonts w:hint="eastAsia" w:ascii="宋体" w:cs="宋体"/>
                <w:kern w:val="0"/>
                <w:szCs w:val="21"/>
              </w:rPr>
            </w:pPr>
            <w:r>
              <w:rPr>
                <w:rFonts w:hint="eastAsia" w:ascii="宋体" w:cs="宋体"/>
                <w:kern w:val="0"/>
                <w:szCs w:val="21"/>
              </w:rPr>
              <w:t>未按要求设置公共厕所的，扣3分；</w:t>
            </w:r>
          </w:p>
          <w:p>
            <w:pPr>
              <w:widowControl/>
              <w:spacing w:line="240" w:lineRule="exact"/>
              <w:textAlignment w:val="center"/>
              <w:rPr>
                <w:rFonts w:hint="eastAsia" w:ascii="宋体" w:cs="宋体"/>
                <w:kern w:val="0"/>
                <w:szCs w:val="21"/>
              </w:rPr>
            </w:pPr>
            <w:r>
              <w:rPr>
                <w:rFonts w:hint="eastAsia" w:ascii="宋体" w:cs="宋体"/>
                <w:kern w:val="0"/>
                <w:szCs w:val="21"/>
              </w:rPr>
              <w:t>公共厕所不整洁的，扣3分。</w:t>
            </w:r>
          </w:p>
        </w:tc>
        <w:tc>
          <w:tcPr>
            <w:tcW w:w="626" w:type="dxa"/>
            <w:vMerge w:val="continue"/>
            <w:tcBorders>
              <w:left w:val="single" w:color="000000" w:sz="4" w:space="0"/>
              <w:right w:val="single" w:color="000000" w:sz="4" w:space="0"/>
            </w:tcBorders>
            <w:shd w:val="clear" w:color="auto" w:fill="auto"/>
            <w:noWrap/>
            <w:vAlign w:val="center"/>
          </w:tcPr>
          <w:p>
            <w:pPr>
              <w:widowControl/>
              <w:jc w:val="center"/>
              <w:textAlignment w:val="center"/>
              <w:rPr>
                <w:rFonts w:ascii="宋体" w:cs="宋体"/>
                <w:kern w:val="0"/>
                <w:sz w:val="22"/>
                <w:szCs w:val="22"/>
              </w:rPr>
            </w:pPr>
          </w:p>
        </w:tc>
        <w:tc>
          <w:tcPr>
            <w:tcW w:w="655" w:type="dxa"/>
            <w:vMerge w:val="continue"/>
            <w:tcBorders>
              <w:left w:val="single" w:color="000000" w:sz="4" w:space="0"/>
              <w:right w:val="single" w:color="000000" w:sz="4" w:space="0"/>
            </w:tcBorders>
            <w:shd w:val="clear" w:color="auto" w:fill="auto"/>
            <w:noWrap/>
            <w:vAlign w:val="center"/>
          </w:tcPr>
          <w:p>
            <w:pPr>
              <w:rPr>
                <w:rFonts w:ascii="宋体" w:cs="宋体"/>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54" w:type="dxa"/>
          <w:trHeight w:val="1009" w:hRule="atLeast"/>
        </w:trPr>
        <w:tc>
          <w:tcPr>
            <w:tcW w:w="656"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default" w:ascii="宋体" w:eastAsia="宋体" w:cs="宋体"/>
                <w:sz w:val="22"/>
                <w:szCs w:val="22"/>
                <w:lang w:val="en-US" w:eastAsia="zh-CN"/>
              </w:rPr>
            </w:pPr>
            <w:r>
              <w:rPr>
                <w:rFonts w:hint="eastAsia" w:ascii="宋体" w:cs="宋体"/>
                <w:kern w:val="0"/>
                <w:sz w:val="22"/>
                <w:szCs w:val="22"/>
                <w:lang w:val="en-US" w:eastAsia="zh-CN"/>
              </w:rPr>
              <w:t>19</w:t>
            </w:r>
          </w:p>
        </w:tc>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tc>
        <w:tc>
          <w:tcPr>
            <w:tcW w:w="782"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240" w:lineRule="exact"/>
              <w:textAlignment w:val="center"/>
              <w:rPr>
                <w:rFonts w:hint="eastAsia" w:ascii="宋体" w:cs="宋体"/>
                <w:kern w:val="0"/>
                <w:szCs w:val="21"/>
              </w:rPr>
            </w:pPr>
            <w:r>
              <w:rPr>
                <w:rFonts w:hint="eastAsia" w:ascii="宋体" w:cs="宋体"/>
                <w:kern w:val="0"/>
                <w:szCs w:val="21"/>
              </w:rPr>
              <w:t>公共浴室</w:t>
            </w:r>
          </w:p>
        </w:tc>
        <w:tc>
          <w:tcPr>
            <w:tcW w:w="6355"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240" w:lineRule="exact"/>
              <w:textAlignment w:val="center"/>
              <w:rPr>
                <w:rFonts w:hint="eastAsia" w:ascii="宋体" w:cs="宋体"/>
                <w:kern w:val="0"/>
                <w:szCs w:val="21"/>
              </w:rPr>
            </w:pPr>
            <w:r>
              <w:rPr>
                <w:rFonts w:hint="eastAsia" w:ascii="宋体" w:cs="宋体"/>
                <w:kern w:val="0"/>
                <w:szCs w:val="21"/>
              </w:rPr>
              <w:t>未按要求设置公共浴室的，扣3分；</w:t>
            </w:r>
          </w:p>
          <w:p>
            <w:pPr>
              <w:widowControl/>
              <w:spacing w:line="240" w:lineRule="exact"/>
              <w:textAlignment w:val="center"/>
              <w:rPr>
                <w:rFonts w:hint="eastAsia" w:ascii="宋体" w:cs="宋体"/>
                <w:kern w:val="0"/>
                <w:szCs w:val="21"/>
              </w:rPr>
            </w:pPr>
            <w:r>
              <w:rPr>
                <w:rFonts w:hint="eastAsia" w:ascii="宋体" w:cs="宋体"/>
                <w:kern w:val="0"/>
                <w:szCs w:val="21"/>
              </w:rPr>
              <w:t>公共浴室不整洁的，扣3分。</w:t>
            </w:r>
          </w:p>
        </w:tc>
        <w:tc>
          <w:tcPr>
            <w:tcW w:w="626" w:type="dxa"/>
            <w:vMerge w:val="continue"/>
            <w:tcBorders>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cs="宋体"/>
                <w:kern w:val="0"/>
                <w:sz w:val="22"/>
                <w:szCs w:val="22"/>
              </w:rPr>
            </w:pPr>
          </w:p>
        </w:tc>
        <w:tc>
          <w:tcPr>
            <w:tcW w:w="655" w:type="dxa"/>
            <w:vMerge w:val="continue"/>
            <w:tcBorders>
              <w:left w:val="single" w:color="000000" w:sz="4" w:space="0"/>
              <w:bottom w:val="single" w:color="000000" w:sz="4" w:space="0"/>
              <w:right w:val="single" w:color="000000" w:sz="4" w:space="0"/>
            </w:tcBorders>
            <w:shd w:val="clear" w:color="auto" w:fill="auto"/>
            <w:noWrap/>
            <w:vAlign w:val="center"/>
          </w:tcPr>
          <w:p>
            <w:pPr>
              <w:rPr>
                <w:rFonts w:ascii="宋体" w:cs="宋体"/>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54" w:type="dxa"/>
          <w:trHeight w:val="970" w:hRule="atLeast"/>
        </w:trPr>
        <w:tc>
          <w:tcPr>
            <w:tcW w:w="656"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default" w:ascii="宋体" w:eastAsia="宋体" w:cs="宋体"/>
                <w:sz w:val="22"/>
                <w:szCs w:val="22"/>
                <w:lang w:val="en-US" w:eastAsia="zh-CN"/>
              </w:rPr>
            </w:pPr>
            <w:r>
              <w:rPr>
                <w:rFonts w:hint="eastAsia" w:ascii="宋体" w:cs="宋体"/>
                <w:sz w:val="22"/>
                <w:szCs w:val="22"/>
                <w:lang w:val="en-US" w:eastAsia="zh-CN"/>
              </w:rPr>
              <w:t>20</w:t>
            </w:r>
          </w:p>
        </w:tc>
        <w:tc>
          <w:tcPr>
            <w:tcW w:w="1096"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auto"/>
            <w:noWrap/>
            <w:vAlign w:val="center"/>
          </w:tcPr>
          <w:p>
            <w:pPr>
              <w:widowControl/>
              <w:jc w:val="center"/>
              <w:textAlignment w:val="center"/>
              <w:rPr>
                <w:rFonts w:ascii="宋体" w:cs="宋体"/>
                <w:kern w:val="0"/>
                <w:sz w:val="22"/>
                <w:szCs w:val="22"/>
              </w:rPr>
            </w:pPr>
            <w:r>
              <w:rPr>
                <w:rFonts w:hint="eastAsia" w:ascii="宋体" w:cs="宋体"/>
                <w:kern w:val="0"/>
                <w:sz w:val="22"/>
                <w:szCs w:val="22"/>
              </w:rPr>
              <w:t>其他</w:t>
            </w:r>
          </w:p>
        </w:tc>
        <w:tc>
          <w:tcPr>
            <w:tcW w:w="782"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cs="宋体"/>
                <w:sz w:val="22"/>
                <w:szCs w:val="22"/>
              </w:rPr>
            </w:pPr>
            <w:r>
              <w:rPr>
                <w:rFonts w:hint="eastAsia" w:ascii="宋体" w:cs="宋体"/>
                <w:kern w:val="0"/>
                <w:sz w:val="22"/>
                <w:szCs w:val="22"/>
              </w:rPr>
              <w:t>人员形象</w:t>
            </w:r>
          </w:p>
        </w:tc>
        <w:tc>
          <w:tcPr>
            <w:tcW w:w="6355"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240" w:lineRule="exact"/>
              <w:textAlignment w:val="center"/>
              <w:rPr>
                <w:rFonts w:ascii="宋体" w:cs="宋体"/>
                <w:szCs w:val="21"/>
              </w:rPr>
            </w:pPr>
            <w:r>
              <w:rPr>
                <w:rFonts w:hint="eastAsia" w:ascii="宋体" w:cs="宋体"/>
                <w:kern w:val="0"/>
                <w:szCs w:val="21"/>
              </w:rPr>
              <w:t>进入施工现场人员未统一穿戴反光背心、安全帽等个人防护用品，每人扣2分</w:t>
            </w:r>
            <w:r>
              <w:rPr>
                <w:rFonts w:ascii="宋体" w:cs="宋体"/>
                <w:kern w:val="0"/>
                <w:szCs w:val="21"/>
              </w:rPr>
              <w:t>。</w:t>
            </w:r>
          </w:p>
        </w:tc>
        <w:tc>
          <w:tcPr>
            <w:tcW w:w="626" w:type="dxa"/>
            <w:vMerge w:val="restart"/>
            <w:tcBorders>
              <w:top w:val="single" w:color="auto" w:sz="4" w:space="0"/>
              <w:left w:val="single" w:color="000000" w:sz="4" w:space="0"/>
              <w:right w:val="single" w:color="000000" w:sz="4" w:space="0"/>
            </w:tcBorders>
            <w:shd w:val="clear" w:color="auto" w:fill="auto"/>
            <w:noWrap/>
            <w:vAlign w:val="center"/>
          </w:tcPr>
          <w:p>
            <w:pPr>
              <w:widowControl/>
              <w:jc w:val="center"/>
              <w:textAlignment w:val="center"/>
              <w:rPr>
                <w:rFonts w:hint="default" w:ascii="宋体" w:eastAsia="宋体" w:cs="宋体"/>
                <w:sz w:val="22"/>
                <w:szCs w:val="22"/>
                <w:lang w:val="en-US" w:eastAsia="zh-CN"/>
              </w:rPr>
            </w:pPr>
            <w:r>
              <w:rPr>
                <w:rFonts w:hint="eastAsia" w:ascii="宋体" w:cs="宋体"/>
                <w:sz w:val="22"/>
                <w:szCs w:val="22"/>
                <w:lang w:val="en-US" w:eastAsia="zh-CN"/>
              </w:rPr>
              <w:t>12</w:t>
            </w:r>
          </w:p>
        </w:tc>
        <w:tc>
          <w:tcPr>
            <w:tcW w:w="655" w:type="dxa"/>
            <w:vMerge w:val="restart"/>
            <w:tcBorders>
              <w:top w:val="single" w:color="auto" w:sz="4" w:space="0"/>
              <w:left w:val="single" w:color="000000" w:sz="4" w:space="0"/>
              <w:right w:val="single" w:color="000000" w:sz="4" w:space="0"/>
            </w:tcBorders>
            <w:shd w:val="clear" w:color="auto" w:fill="auto"/>
            <w:noWrap/>
            <w:vAlign w:val="center"/>
          </w:tcPr>
          <w:p>
            <w:pPr>
              <w:rPr>
                <w:rFonts w:ascii="宋体" w:cs="宋体"/>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54" w:type="dxa"/>
          <w:trHeight w:val="1249"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default" w:ascii="宋体" w:eastAsia="宋体" w:cs="宋体"/>
                <w:sz w:val="22"/>
                <w:szCs w:val="22"/>
                <w:lang w:val="en-US" w:eastAsia="zh-CN"/>
              </w:rPr>
            </w:pPr>
            <w:r>
              <w:rPr>
                <w:rFonts w:hint="eastAsia" w:ascii="宋体" w:cs="宋体"/>
                <w:sz w:val="22"/>
                <w:szCs w:val="22"/>
                <w:lang w:val="en-US" w:eastAsia="zh-CN"/>
              </w:rPr>
              <w:t>21</w:t>
            </w:r>
          </w:p>
        </w:tc>
        <w:tc>
          <w:tcPr>
            <w:tcW w:w="1096"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auto"/>
            <w:noWrap/>
            <w:vAlign w:val="center"/>
          </w:tc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textAlignment w:val="center"/>
              <w:rPr>
                <w:rFonts w:ascii="宋体" w:cs="宋体"/>
                <w:kern w:val="0"/>
                <w:szCs w:val="21"/>
              </w:rPr>
            </w:pPr>
            <w:r>
              <w:rPr>
                <w:rFonts w:hint="eastAsia" w:ascii="宋体" w:cs="宋体"/>
                <w:sz w:val="22"/>
                <w:szCs w:val="22"/>
              </w:rPr>
              <w:t>交底培训</w:t>
            </w:r>
          </w:p>
        </w:tc>
        <w:tc>
          <w:tcPr>
            <w:tcW w:w="63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textAlignment w:val="center"/>
              <w:rPr>
                <w:rFonts w:ascii="宋体" w:cs="宋体"/>
                <w:kern w:val="0"/>
                <w:szCs w:val="21"/>
              </w:rPr>
            </w:pPr>
            <w:r>
              <w:rPr>
                <w:rFonts w:hint="eastAsia" w:ascii="宋体" w:cs="宋体"/>
                <w:kern w:val="0"/>
                <w:szCs w:val="21"/>
              </w:rPr>
              <w:t>未编制扬尘防治、噪音控制等文明施工专项方案的，扣5分；</w:t>
            </w:r>
          </w:p>
          <w:p>
            <w:pPr>
              <w:widowControl/>
              <w:spacing w:line="240" w:lineRule="exact"/>
              <w:textAlignment w:val="center"/>
              <w:rPr>
                <w:rFonts w:ascii="宋体" w:cs="宋体"/>
                <w:kern w:val="0"/>
                <w:szCs w:val="21"/>
              </w:rPr>
            </w:pPr>
            <w:r>
              <w:rPr>
                <w:rFonts w:hint="eastAsia" w:ascii="宋体" w:cs="宋体"/>
                <w:kern w:val="0"/>
                <w:szCs w:val="21"/>
              </w:rPr>
              <w:t>未对易产生文明施工问题的施工班组进行文明施工专项培训的，扣5分；</w:t>
            </w:r>
          </w:p>
          <w:p>
            <w:pPr>
              <w:widowControl/>
              <w:spacing w:line="240" w:lineRule="exact"/>
              <w:textAlignment w:val="center"/>
              <w:rPr>
                <w:rFonts w:ascii="宋体" w:cs="宋体"/>
                <w:kern w:val="0"/>
                <w:szCs w:val="21"/>
              </w:rPr>
            </w:pPr>
            <w:r>
              <w:rPr>
                <w:rFonts w:hint="eastAsia" w:ascii="宋体" w:cs="宋体"/>
                <w:kern w:val="0"/>
                <w:szCs w:val="21"/>
              </w:rPr>
              <w:t>晨会未包含文明施工内容的，扣</w:t>
            </w:r>
            <w:r>
              <w:rPr>
                <w:rFonts w:hint="eastAsia" w:ascii="宋体" w:cs="宋体"/>
                <w:kern w:val="0"/>
                <w:szCs w:val="21"/>
                <w:lang w:val="en-US" w:eastAsia="zh-CN"/>
              </w:rPr>
              <w:t>5</w:t>
            </w:r>
            <w:r>
              <w:rPr>
                <w:rFonts w:hint="eastAsia" w:ascii="宋体" w:cs="宋体"/>
                <w:kern w:val="0"/>
                <w:szCs w:val="21"/>
              </w:rPr>
              <w:t>分。</w:t>
            </w:r>
          </w:p>
        </w:tc>
        <w:tc>
          <w:tcPr>
            <w:tcW w:w="626" w:type="dxa"/>
            <w:vMerge w:val="continue"/>
            <w:tcBorders>
              <w:left w:val="single" w:color="000000" w:sz="4" w:space="0"/>
              <w:right w:val="single" w:color="000000" w:sz="4" w:space="0"/>
            </w:tcBorders>
            <w:shd w:val="clear" w:color="auto" w:fill="auto"/>
            <w:noWrap/>
            <w:vAlign w:val="center"/>
          </w:tcPr>
          <w:p>
            <w:pPr>
              <w:widowControl/>
              <w:jc w:val="center"/>
              <w:textAlignment w:val="center"/>
              <w:rPr>
                <w:rFonts w:ascii="宋体" w:cs="宋体"/>
                <w:sz w:val="22"/>
                <w:szCs w:val="22"/>
              </w:rPr>
            </w:pPr>
          </w:p>
        </w:tc>
        <w:tc>
          <w:tcPr>
            <w:tcW w:w="655" w:type="dxa"/>
            <w:vMerge w:val="continue"/>
            <w:tcBorders>
              <w:left w:val="single" w:color="000000" w:sz="4" w:space="0"/>
              <w:right w:val="single" w:color="000000" w:sz="4" w:space="0"/>
            </w:tcBorders>
            <w:shd w:val="clear" w:color="auto" w:fill="auto"/>
            <w:noWrap/>
            <w:vAlign w:val="center"/>
          </w:tcPr>
          <w:p>
            <w:pPr>
              <w:rPr>
                <w:rFonts w:ascii="宋体" w:cs="宋体"/>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54" w:type="dxa"/>
          <w:trHeight w:val="68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default" w:ascii="宋体" w:eastAsia="宋体" w:cs="宋体"/>
                <w:sz w:val="22"/>
                <w:szCs w:val="22"/>
                <w:lang w:val="en-US" w:eastAsia="zh-CN"/>
              </w:rPr>
            </w:pPr>
            <w:r>
              <w:rPr>
                <w:rFonts w:hint="eastAsia" w:ascii="宋体" w:cs="宋体"/>
                <w:sz w:val="22"/>
                <w:szCs w:val="22"/>
                <w:lang w:val="en-US" w:eastAsia="zh-CN"/>
              </w:rPr>
              <w:t>22</w:t>
            </w:r>
          </w:p>
        </w:tc>
        <w:tc>
          <w:tcPr>
            <w:tcW w:w="1096"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auto"/>
            <w:noWrap/>
            <w:vAlign w:val="center"/>
          </w:tc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textAlignment w:val="center"/>
              <w:rPr>
                <w:rFonts w:ascii="宋体" w:cs="宋体"/>
                <w:kern w:val="0"/>
                <w:szCs w:val="21"/>
              </w:rPr>
            </w:pPr>
            <w:r>
              <w:rPr>
                <w:rFonts w:hint="eastAsia" w:ascii="宋体" w:cs="宋体"/>
                <w:sz w:val="22"/>
                <w:szCs w:val="22"/>
              </w:rPr>
              <w:t>其他</w:t>
            </w:r>
          </w:p>
        </w:tc>
        <w:tc>
          <w:tcPr>
            <w:tcW w:w="63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textAlignment w:val="center"/>
              <w:rPr>
                <w:rFonts w:ascii="宋体" w:cs="宋体"/>
                <w:kern w:val="0"/>
                <w:szCs w:val="21"/>
              </w:rPr>
            </w:pPr>
            <w:r>
              <w:rPr>
                <w:rFonts w:hint="eastAsia" w:ascii="宋体" w:cs="宋体"/>
                <w:kern w:val="0"/>
                <w:szCs w:val="21"/>
              </w:rPr>
              <w:t>文明施工投诉处理及问题整改不及时的，扣</w:t>
            </w:r>
            <w:r>
              <w:rPr>
                <w:rFonts w:hint="eastAsia" w:ascii="宋体" w:cs="宋体"/>
                <w:kern w:val="0"/>
                <w:szCs w:val="21"/>
                <w:lang w:val="en-US" w:eastAsia="zh-CN"/>
              </w:rPr>
              <w:t>8</w:t>
            </w:r>
            <w:r>
              <w:rPr>
                <w:rFonts w:hint="eastAsia" w:ascii="宋体" w:cs="宋体"/>
                <w:kern w:val="0"/>
                <w:szCs w:val="21"/>
              </w:rPr>
              <w:t>分</w:t>
            </w:r>
            <w:r>
              <w:rPr>
                <w:rFonts w:ascii="宋体" w:cs="宋体"/>
                <w:kern w:val="0"/>
                <w:szCs w:val="21"/>
              </w:rPr>
              <w:t>。</w:t>
            </w:r>
          </w:p>
        </w:tc>
        <w:tc>
          <w:tcPr>
            <w:tcW w:w="626" w:type="dxa"/>
            <w:vMerge w:val="continue"/>
            <w:tcBorders>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cs="宋体"/>
                <w:sz w:val="22"/>
                <w:szCs w:val="22"/>
              </w:rPr>
            </w:pPr>
          </w:p>
        </w:tc>
        <w:tc>
          <w:tcPr>
            <w:tcW w:w="655" w:type="dxa"/>
            <w:vMerge w:val="continue"/>
            <w:tcBorders>
              <w:left w:val="single" w:color="000000" w:sz="4" w:space="0"/>
              <w:bottom w:val="single" w:color="000000" w:sz="4" w:space="0"/>
              <w:right w:val="single" w:color="000000" w:sz="4" w:space="0"/>
            </w:tcBorders>
            <w:shd w:val="clear" w:color="auto" w:fill="auto"/>
            <w:noWrap/>
            <w:vAlign w:val="center"/>
          </w:tcPr>
          <w:p>
            <w:pPr>
              <w:rPr>
                <w:rFonts w:ascii="宋体" w:cs="宋体"/>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54" w:type="dxa"/>
          <w:trHeight w:val="1076" w:hRule="atLeast"/>
        </w:trPr>
        <w:tc>
          <w:tcPr>
            <w:tcW w:w="8889"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cs="宋体"/>
                <w:sz w:val="22"/>
                <w:szCs w:val="22"/>
              </w:rPr>
            </w:pPr>
            <w:r>
              <w:rPr>
                <w:rFonts w:hint="eastAsia" w:ascii="宋体" w:cs="宋体"/>
                <w:b/>
                <w:bCs/>
                <w:kern w:val="0"/>
                <w:sz w:val="22"/>
                <w:szCs w:val="22"/>
                <w:lang w:eastAsia="zh-CN"/>
              </w:rPr>
              <w:t>总</w:t>
            </w:r>
            <w:r>
              <w:rPr>
                <w:rFonts w:hint="eastAsia" w:ascii="宋体" w:cs="宋体"/>
                <w:b/>
                <w:bCs/>
                <w:kern w:val="0"/>
                <w:sz w:val="22"/>
                <w:szCs w:val="22"/>
              </w:rPr>
              <w:t>得分值</w:t>
            </w:r>
          </w:p>
        </w:tc>
        <w:tc>
          <w:tcPr>
            <w:tcW w:w="128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宋体" w:cs="宋体"/>
                <w:b/>
                <w:bCs/>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trPr>
        <w:tc>
          <w:tcPr>
            <w:tcW w:w="11324" w:type="dxa"/>
            <w:gridSpan w:val="7"/>
            <w:tcBorders>
              <w:top w:val="nil"/>
              <w:left w:val="nil"/>
              <w:bottom w:val="nil"/>
              <w:right w:val="nil"/>
            </w:tcBorders>
            <w:shd w:val="clear" w:color="auto" w:fill="auto"/>
            <w:noWrap/>
            <w:vAlign w:val="center"/>
          </w:tcPr>
          <w:p>
            <w:pPr>
              <w:widowControl/>
              <w:textAlignment w:val="center"/>
              <w:rPr>
                <w:rFonts w:hint="eastAsia" w:ascii="宋体" w:eastAsia="宋体" w:cs="宋体"/>
                <w:b/>
                <w:bCs/>
                <w:sz w:val="22"/>
                <w:szCs w:val="22"/>
                <w:lang w:eastAsia="zh-CN"/>
              </w:rPr>
            </w:pPr>
            <w:r>
              <w:rPr>
                <w:rFonts w:hint="eastAsia" w:ascii="宋体" w:cs="宋体"/>
                <w:b/>
                <w:bCs/>
                <w:kern w:val="0"/>
                <w:sz w:val="22"/>
                <w:szCs w:val="22"/>
              </w:rPr>
              <w:t>说明：考核内容共2</w:t>
            </w:r>
            <w:r>
              <w:rPr>
                <w:rFonts w:hint="eastAsia" w:ascii="宋体" w:cs="宋体"/>
                <w:b/>
                <w:bCs/>
                <w:kern w:val="0"/>
                <w:sz w:val="22"/>
                <w:szCs w:val="22"/>
                <w:lang w:val="en-US" w:eastAsia="zh-CN"/>
              </w:rPr>
              <w:t>2</w:t>
            </w:r>
            <w:bookmarkStart w:id="0" w:name="_GoBack"/>
            <w:bookmarkEnd w:id="0"/>
            <w:r>
              <w:rPr>
                <w:rFonts w:hint="eastAsia" w:ascii="宋体" w:cs="宋体"/>
                <w:b/>
                <w:bCs/>
                <w:kern w:val="0"/>
                <w:sz w:val="22"/>
                <w:szCs w:val="22"/>
              </w:rPr>
              <w:t>项，共计100分，遇有缺项时，总得分值=(实得分值/</w:t>
            </w:r>
            <w:r>
              <w:rPr>
                <w:rFonts w:hint="eastAsia" w:ascii="宋体" w:cs="宋体"/>
                <w:b/>
                <w:bCs/>
                <w:kern w:val="0"/>
                <w:sz w:val="22"/>
                <w:szCs w:val="22"/>
                <w:lang w:eastAsia="zh-CN"/>
              </w:rPr>
              <w:t>缺项</w:t>
            </w:r>
            <w:r>
              <w:rPr>
                <w:rFonts w:hint="eastAsia" w:ascii="宋体" w:cs="宋体"/>
                <w:b/>
                <w:bCs/>
                <w:kern w:val="0"/>
                <w:sz w:val="22"/>
                <w:szCs w:val="22"/>
              </w:rPr>
              <w:t>满分值)×100</w:t>
            </w:r>
            <w:r>
              <w:rPr>
                <w:rFonts w:hint="eastAsia" w:ascii="宋体" w:cs="宋体"/>
                <w:b/>
                <w:bCs/>
                <w:kern w:val="0"/>
                <w:sz w:val="22"/>
                <w:szCs w:val="22"/>
                <w:lang w:eastAsia="zh-CN"/>
              </w:rPr>
              <w:t>。</w:t>
            </w:r>
          </w:p>
        </w:tc>
      </w:tr>
    </w:tbl>
    <w:p>
      <w:pPr>
        <w:pStyle w:val="2"/>
        <w:rPr>
          <w:i w:val="0"/>
        </w:rPr>
      </w:pPr>
    </w:p>
    <w:sectPr>
      <w:footerReference r:id="rId3" w:type="default"/>
      <w:pgSz w:w="11906" w:h="16838"/>
      <w:pgMar w:top="1440" w:right="1803" w:bottom="1440" w:left="1803"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DejaVu Sans">
    <w:panose1 w:val="020B0603030804020204"/>
    <w:charset w:val="00"/>
    <w:family w:val="auto"/>
    <w:pitch w:val="default"/>
    <w:sig w:usb0="E7006EFF" w:usb1="D200FDFF" w:usb2="0A246029" w:usb3="0400200C" w:csb0="600001FF" w:csb1="DFFF0000"/>
  </w:font>
  <w:font w:name="Genkaimincho">
    <w:panose1 w:val="02000900000000000000"/>
    <w:charset w:val="80"/>
    <w:family w:val="auto"/>
    <w:pitch w:val="default"/>
    <w:sig w:usb0="A00002FF" w:usb1="68C7FEFF" w:usb2="00000012" w:usb3="00000000" w:csb0="0002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mc:AlternateContent>
        <mc:Choice Requires="wps">
          <w:drawing>
            <wp:anchor distT="0" distB="0" distL="113665" distR="113665" simplePos="0" relativeHeight="251659264" behindDoc="0" locked="0" layoutInCell="1" allowOverlap="1">
              <wp:simplePos x="0" y="0"/>
              <wp:positionH relativeFrom="margin">
                <wp:align>outside</wp:align>
              </wp:positionH>
              <wp:positionV relativeFrom="paragraph">
                <wp:posOffset>0</wp:posOffset>
              </wp:positionV>
              <wp:extent cx="90170" cy="379730"/>
              <wp:effectExtent l="0" t="0" r="0" b="0"/>
              <wp:wrapNone/>
              <wp:docPr id="1" name="文本框 6"/>
              <wp:cNvGraphicFramePr/>
              <a:graphic xmlns:a="http://schemas.openxmlformats.org/drawingml/2006/main">
                <a:graphicData uri="http://schemas.microsoft.com/office/word/2010/wordprocessingShape">
                  <wps:wsp>
                    <wps:cNvSpPr/>
                    <wps:spPr>
                      <a:xfrm>
                        <a:off x="0" y="0"/>
                        <a:ext cx="90170" cy="379729"/>
                      </a:xfrm>
                      <a:prstGeom prst="rect">
                        <a:avLst/>
                      </a:prstGeom>
                      <a:noFill/>
                      <a:ln w="6350" cap="flat" cmpd="sng">
                        <a:noFill/>
                        <a:prstDash val="solid"/>
                        <a:round/>
                      </a:ln>
                    </wps:spPr>
                    <wps:txbx>
                      <w:txbxContent>
                        <w:sdt>
                          <w:sdtPr>
                            <w:id w:val="-1239396745"/>
                          </w:sdtPr>
                          <w:sdtContent>
                            <w:p>
                              <w:pPr>
                                <w:pStyle w:val="10"/>
                                <w:jc w:val="center"/>
                              </w:pPr>
                              <w:r>
                                <w:rPr>
                                  <w:sz w:val="28"/>
                                  <w:szCs w:val="44"/>
                                </w:rPr>
                                <w:fldChar w:fldCharType="begin"/>
                              </w:r>
                              <w:r>
                                <w:rPr>
                                  <w:sz w:val="28"/>
                                  <w:szCs w:val="44"/>
                                </w:rPr>
                                <w:instrText xml:space="preserve">PAGE   \* MERGEFORMAT</w:instrText>
                              </w:r>
                              <w:r>
                                <w:rPr>
                                  <w:sz w:val="28"/>
                                  <w:szCs w:val="44"/>
                                </w:rPr>
                                <w:fldChar w:fldCharType="separate"/>
                              </w:r>
                              <w:r>
                                <w:rPr>
                                  <w:sz w:val="28"/>
                                  <w:szCs w:val="44"/>
                                  <w:lang w:val="zh-CN"/>
                                </w:rPr>
                                <w:t>1</w:t>
                              </w:r>
                              <w:r>
                                <w:rPr>
                                  <w:sz w:val="28"/>
                                  <w:szCs w:val="44"/>
                                </w:rPr>
                                <w:fldChar w:fldCharType="end"/>
                              </w:r>
                            </w:p>
                          </w:sdtContent>
                        </w:sdt>
                        <w:p/>
                      </w:txbxContent>
                    </wps:txbx>
                    <wps:bodyPr vert="horz" wrap="none" lIns="0" tIns="0" rIns="0" bIns="0" anchor="t" anchorCtr="0" upright="0">
                      <a:spAutoFit/>
                    </wps:bodyPr>
                  </wps:wsp>
                </a:graphicData>
              </a:graphic>
            </wp:anchor>
          </w:drawing>
        </mc:Choice>
        <mc:Fallback>
          <w:pict>
            <v:rect id="文本框 6" o:spid="_x0000_s1026" o:spt="1" style="position:absolute;left:0pt;margin-top:0pt;height:29.9pt;width:7.1pt;mso-position-horizontal:outside;mso-position-horizontal-relative:margin;mso-wrap-style:none;z-index:251659264;mso-width-relative:page;mso-height-relative:page;" filled="f" stroked="f" coordsize="21600,21600" o:gfxdata="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">
              <v:fill on="f" focussize="0,0"/>
              <v:stroke on="f" weight="0.5pt" joinstyle="round"/>
              <v:imagedata o:title=""/>
              <o:lock v:ext="edit" aspectratio="f"/>
              <v:textbox inset="0mm,0mm,0mm,0mm" style="mso-fit-shape-to-text:t;">
                <w:txbxContent>
                  <w:sdt>
                    <w:sdtPr>
                      <w:id w:val="-1239396745"/>
                    </w:sdtPr>
                    <w:sdtContent>
                      <w:p>
                        <w:pPr>
                          <w:pStyle w:val="10"/>
                          <w:jc w:val="center"/>
                        </w:pPr>
                        <w:r>
                          <w:rPr>
                            <w:sz w:val="28"/>
                            <w:szCs w:val="44"/>
                          </w:rPr>
                          <w:fldChar w:fldCharType="begin"/>
                        </w:r>
                        <w:r>
                          <w:rPr>
                            <w:sz w:val="28"/>
                            <w:szCs w:val="44"/>
                          </w:rPr>
                          <w:instrText xml:space="preserve">PAGE   \* MERGEFORMAT</w:instrText>
                        </w:r>
                        <w:r>
                          <w:rPr>
                            <w:sz w:val="28"/>
                            <w:szCs w:val="44"/>
                          </w:rPr>
                          <w:fldChar w:fldCharType="separate"/>
                        </w:r>
                        <w:r>
                          <w:rPr>
                            <w:sz w:val="28"/>
                            <w:szCs w:val="44"/>
                            <w:lang w:val="zh-CN"/>
                          </w:rPr>
                          <w:t>1</w:t>
                        </w:r>
                        <w:r>
                          <w:rPr>
                            <w:sz w:val="28"/>
                            <w:szCs w:val="44"/>
                          </w:rPr>
                          <w:fldChar w:fldCharType="end"/>
                        </w:r>
                      </w:p>
                    </w:sdtContent>
                  </w:sdt>
                  <w:p/>
                </w:txbxContent>
              </v:textbox>
            </v:rect>
          </w:pict>
        </mc:Fallback>
      </mc:AlternateContent>
    </w:r>
    <w:r>
      <w:rPr>
        <w:rFonts w:hint="eastAsia"/>
      </w:rPr>
      <w:t>·</w:t>
    </w:r>
  </w:p>
  <w:p>
    <w:pPr>
      <w:tabs>
        <w:tab w:val="center" w:pos="4153"/>
        <w:tab w:val="right" w:pos="8306"/>
      </w:tabs>
      <w:snapToGrid w:val="0"/>
      <w:rPr>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doNotUseIndentAsNumberingTabStop/>
    <w:compatSetting w:name="compatibilityMode" w:uri="http://schemas.microsoft.com/office/word" w:val="14"/>
  </w:compat>
  <w:docVars>
    <w:docVar w:name="commondata" w:val="eyJoZGlkIjoiZGYyZGNjMGFiMGMxMjE2MjI3MzE1M2M4Y2ZlZmM2MmEifQ=="/>
  </w:docVars>
  <w:rsids>
    <w:rsidRoot w:val="00000000"/>
    <w:rsid w:val="381FA27E"/>
    <w:rsid w:val="3C2FDC19"/>
    <w:rsid w:val="4FDB3D85"/>
    <w:rsid w:val="5FBFF7D8"/>
    <w:rsid w:val="5FF6E84E"/>
    <w:rsid w:val="6EFD90E1"/>
    <w:rsid w:val="77FCA51D"/>
    <w:rsid w:val="7BBE03EC"/>
    <w:rsid w:val="7C8419AB"/>
    <w:rsid w:val="B7ED93F1"/>
    <w:rsid w:val="D7FCB848"/>
    <w:rsid w:val="F4BD7BCF"/>
    <w:rsid w:val="FB7B5D5B"/>
    <w:rsid w:val="FD7FCC1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Pr>
    <w:rPr>
      <w:rFonts w:ascii="Calibri" w:hAnsi="Calibri" w:eastAsia="宋体" w:cs="Arial"/>
      <w:color w:val="000000"/>
      <w:kern w:val="2"/>
      <w:sz w:val="21"/>
      <w:szCs w:val="24"/>
      <w:lang w:val="en-US" w:eastAsia="zh-CN" w:bidi="ar-SA"/>
    </w:rPr>
  </w:style>
  <w:style w:type="paragraph" w:styleId="3">
    <w:name w:val="heading 1"/>
    <w:basedOn w:val="1"/>
    <w:next w:val="1"/>
    <w:qFormat/>
    <w:uiPriority w:val="0"/>
    <w:pPr>
      <w:keepNext/>
      <w:keepLines/>
      <w:widowControl w:val="0"/>
      <w:spacing w:before="340" w:after="330" w:line="578" w:lineRule="auto"/>
      <w:outlineLvl w:val="0"/>
    </w:pPr>
    <w:rPr>
      <w:b/>
      <w:bCs/>
      <w:kern w:val="44"/>
      <w:sz w:val="44"/>
      <w:szCs w:val="44"/>
    </w:rPr>
  </w:style>
  <w:style w:type="paragraph" w:styleId="4">
    <w:name w:val="heading 2"/>
    <w:basedOn w:val="1"/>
    <w:next w:val="1"/>
    <w:qFormat/>
    <w:uiPriority w:val="0"/>
    <w:pPr>
      <w:keepNext/>
      <w:keepLines/>
      <w:widowControl w:val="0"/>
      <w:spacing w:before="260" w:after="260" w:line="415" w:lineRule="auto"/>
      <w:outlineLvl w:val="1"/>
    </w:pPr>
    <w:rPr>
      <w:rFonts w:ascii="Times New Roman" w:hAnsi="Times New Roman" w:eastAsia="黑体"/>
      <w:b/>
      <w:bCs/>
      <w:sz w:val="32"/>
      <w:szCs w:val="32"/>
    </w:rPr>
  </w:style>
  <w:style w:type="paragraph" w:styleId="5">
    <w:name w:val="heading 3"/>
    <w:basedOn w:val="1"/>
    <w:next w:val="1"/>
    <w:qFormat/>
    <w:uiPriority w:val="0"/>
    <w:pPr>
      <w:keepNext/>
      <w:keepLines/>
      <w:widowControl w:val="0"/>
      <w:spacing w:before="260" w:after="260" w:line="415" w:lineRule="auto"/>
      <w:outlineLvl w:val="2"/>
    </w:pPr>
    <w:rPr>
      <w:b/>
      <w:bCs/>
      <w:sz w:val="32"/>
      <w:szCs w:val="32"/>
    </w:rPr>
  </w:style>
  <w:style w:type="character" w:default="1" w:styleId="15">
    <w:name w:val="Default Paragraph Font"/>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spacing w:line="240" w:lineRule="exact"/>
    </w:pPr>
    <w:rPr>
      <w:rFonts w:ascii="宋体" w:cs="宋体"/>
      <w:i/>
      <w:color w:val="FF0000"/>
      <w:kern w:val="0"/>
      <w:szCs w:val="21"/>
    </w:rPr>
  </w:style>
  <w:style w:type="paragraph" w:styleId="6">
    <w:name w:val="Normal Indent"/>
    <w:basedOn w:val="1"/>
    <w:qFormat/>
    <w:uiPriority w:val="0"/>
    <w:pPr>
      <w:spacing w:line="300" w:lineRule="auto"/>
      <w:ind w:firstLine="556"/>
    </w:pPr>
    <w:rPr>
      <w:rFonts w:ascii="仿宋_GB2312" w:eastAsia="仿宋_GB2312" w:cs="仿宋_GB2312"/>
    </w:rPr>
  </w:style>
  <w:style w:type="paragraph" w:styleId="7">
    <w:name w:val="annotation text"/>
    <w:basedOn w:val="1"/>
    <w:qFormat/>
    <w:uiPriority w:val="0"/>
  </w:style>
  <w:style w:type="paragraph" w:styleId="8">
    <w:name w:val="Body Text Indent"/>
    <w:basedOn w:val="1"/>
    <w:next w:val="9"/>
    <w:qFormat/>
    <w:uiPriority w:val="0"/>
    <w:pPr>
      <w:ind w:firstLine="630"/>
    </w:pPr>
  </w:style>
  <w:style w:type="paragraph" w:styleId="9">
    <w:name w:val="header"/>
    <w:basedOn w:val="1"/>
    <w:next w:val="10"/>
    <w:qFormat/>
    <w:uiPriority w:val="0"/>
    <w:pPr>
      <w:pBdr>
        <w:bottom w:val="single" w:color="auto" w:sz="6" w:space="1"/>
      </w:pBdr>
      <w:tabs>
        <w:tab w:val="center" w:pos="4153"/>
        <w:tab w:val="right" w:pos="8306"/>
      </w:tabs>
      <w:snapToGrid w:val="0"/>
      <w:jc w:val="center"/>
    </w:pPr>
    <w:rPr>
      <w:sz w:val="18"/>
      <w:szCs w:val="18"/>
    </w:rPr>
  </w:style>
  <w:style w:type="paragraph" w:styleId="10">
    <w:name w:val="footer"/>
    <w:basedOn w:val="1"/>
    <w:qFormat/>
    <w:uiPriority w:val="0"/>
    <w:pPr>
      <w:tabs>
        <w:tab w:val="center" w:pos="4153"/>
        <w:tab w:val="right" w:pos="8306"/>
      </w:tabs>
      <w:snapToGrid w:val="0"/>
    </w:pPr>
    <w:rPr>
      <w:sz w:val="18"/>
      <w:szCs w:val="18"/>
    </w:rPr>
  </w:style>
  <w:style w:type="paragraph" w:styleId="11">
    <w:name w:val="Balloon Text"/>
    <w:basedOn w:val="1"/>
    <w:qFormat/>
    <w:uiPriority w:val="0"/>
    <w:rPr>
      <w:sz w:val="18"/>
      <w:szCs w:val="18"/>
    </w:rPr>
  </w:style>
  <w:style w:type="paragraph" w:styleId="12">
    <w:name w:val="annotation subject"/>
    <w:basedOn w:val="7"/>
    <w:next w:val="7"/>
    <w:qFormat/>
    <w:uiPriority w:val="0"/>
    <w:rPr>
      <w:b/>
      <w:bCs/>
    </w:rPr>
  </w:style>
  <w:style w:type="paragraph" w:styleId="13">
    <w:name w:val="Body Text First Indent 2"/>
    <w:basedOn w:val="1"/>
    <w:next w:val="1"/>
    <w:qFormat/>
    <w:uiPriority w:val="0"/>
    <w:pPr>
      <w:spacing w:after="120"/>
      <w:ind w:left="200" w:leftChars="200" w:firstLine="420"/>
    </w:pPr>
  </w:style>
  <w:style w:type="character" w:styleId="16">
    <w:name w:val="annotation reference"/>
    <w:basedOn w:val="15"/>
    <w:qFormat/>
    <w:uiPriority w:val="0"/>
    <w:rPr>
      <w:sz w:val="21"/>
      <w:szCs w:val="21"/>
    </w:rPr>
  </w:style>
  <w:style w:type="paragraph" w:customStyle="1" w:styleId="17">
    <w:name w:val="样式1"/>
    <w:basedOn w:val="1"/>
    <w:qFormat/>
    <w:uiPriority w:val="0"/>
    <w:pPr>
      <w:ind w:firstLine="200" w:firstLineChars="200"/>
    </w:pPr>
    <w:rPr>
      <w:rFonts w:ascii="仿宋" w:eastAsia="仿宋" w:cs="仿宋"/>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Pages>3</Pages>
  <Words>1976</Words>
  <Characters>1997</Characters>
  <Lines>270</Lines>
  <Paragraphs>154</Paragraphs>
  <TotalTime>4</TotalTime>
  <ScaleCrop>false</ScaleCrop>
  <LinksUpToDate>false</LinksUpToDate>
  <CharactersWithSpaces>2049</CharactersWithSpaces>
  <Application>WPS Office_11.8.2.11681_F1E327BC-269C-435d-A152-05C5408002CA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2024-03-09T06:52:00Z</dcterms:created>
  <dc:creator>等吧！</dc:creator>
  <cp:lastModifiedBy>huawei</cp:lastModifiedBy>
  <cp:lastPrinted>2024-03-16T17:00:00Z</cp:lastPrinted>
  <dcterms:modified xsi:type="dcterms:W3CDTF">2024-03-28T15:49:25Z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2052-11.8.2.11681</vt:lpwstr>
  </property>
  <property fmtid="{D5CDD505-2E9C-101B-9397-08002B2CF9AE}" pid="3" name="ICV">
    <vt:lpwstr>A1D3CF44FDE90CB1760E056696469A15</vt:lpwstr>
  </property>
</Properties>
</file>