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青岛市市政公用工程质量安全监督站关于印发市政公用工程文明施工分类分级分阶段精细化管理实施方案的通知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2024-03-28</w:t>
      </w:r>
    </w:p>
    <w:p>
      <w:pPr>
        <w:pStyle w:val="3"/>
        <w:keepNext w:val="0"/>
        <w:keepLines w:val="0"/>
        <w:widowControl/>
        <w:suppressLineNumbers w:val="0"/>
        <w:shd w:val="clear" w:fill="FFFFFF"/>
        <w:spacing w:before="0" w:beforeAutospacing="0" w:after="0" w:afterAutospacing="0" w:line="555" w:lineRule="atLeast"/>
        <w:ind w:left="0" w:right="0" w:firstLine="0"/>
        <w:jc w:val="both"/>
        <w:rPr>
          <w:rFonts w:hint="default" w:ascii="Helvetica" w:hAnsi="Helvetica" w:eastAsia="Helvetica" w:cs="Helvetica"/>
          <w:color w:val="333333"/>
          <w:sz w:val="21"/>
          <w:szCs w:val="21"/>
        </w:rPr>
      </w:pPr>
      <w:r>
        <w:rPr>
          <w:rFonts w:ascii="仿宋_GB2312" w:hAnsi="Helvetica" w:eastAsia="仿宋_GB2312" w:cs="仿宋_GB2312"/>
          <w:i w:val="0"/>
          <w:iCs w:val="0"/>
          <w:caps w:val="0"/>
          <w:color w:val="333333"/>
          <w:spacing w:val="0"/>
          <w:sz w:val="31"/>
          <w:szCs w:val="31"/>
          <w:shd w:val="clear" w:fill="FFFFFF"/>
        </w:rPr>
        <w:t>各区（市）市政公用工程监督管理部门、各有关单位：</w:t>
      </w:r>
    </w:p>
    <w:p>
      <w:pPr>
        <w:pStyle w:val="3"/>
        <w:keepNext w:val="0"/>
        <w:keepLines w:val="0"/>
        <w:widowControl/>
        <w:suppressLineNumbers w:val="0"/>
        <w:shd w:val="clear" w:fill="FFFFFF"/>
        <w:spacing w:before="0" w:beforeAutospacing="0" w:after="0" w:afterAutospacing="0" w:line="555" w:lineRule="atLeast"/>
        <w:ind w:left="0" w:right="0" w:firstLine="645"/>
        <w:jc w:val="both"/>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为深入贯彻落实省、市生态环境保护工作部署和《青岛市住房和城乡建设局关于印发房屋和市政公用领域建设工地扬尘专项整治行动实施方案的通知》（青建管字〔2024〕3号）要求，进一步提升全市市政公用工程（含轨道交通工程）文明施工精细化、标准化、差异化管理水平，现将《市政公用工程文明施工分类分级分阶段精细化管理实施方案》印发给你们，请各单位认真学习领会，抓好贯彻落实。</w:t>
      </w:r>
    </w:p>
    <w:p>
      <w:pPr>
        <w:pStyle w:val="3"/>
        <w:keepNext w:val="0"/>
        <w:keepLines w:val="0"/>
        <w:widowControl/>
        <w:suppressLineNumbers w:val="0"/>
        <w:shd w:val="clear" w:fill="FFFFFF"/>
        <w:spacing w:before="0" w:beforeAutospacing="0" w:after="0" w:afterAutospacing="0" w:line="555" w:lineRule="atLeast"/>
        <w:ind w:left="0" w:right="0" w:firstLine="645"/>
        <w:jc w:val="both"/>
        <w:rPr>
          <w:rFonts w:hint="default" w:ascii="Helvetica" w:hAnsi="Helvetica" w:eastAsia="Helvetica" w:cs="Helvetica"/>
          <w:color w:val="333333"/>
          <w:sz w:val="21"/>
          <w:szCs w:val="21"/>
        </w:rPr>
      </w:pPr>
      <w:r>
        <w:rPr>
          <w:rFonts w:hint="default" w:ascii="Helvetica" w:hAnsi="Helvetica" w:eastAsia="Helvetica" w:cs="Helvetica"/>
          <w:i w:val="0"/>
          <w:iCs w:val="0"/>
          <w:caps w:val="0"/>
          <w:color w:val="333333"/>
          <w:spacing w:val="0"/>
          <w:sz w:val="21"/>
          <w:szCs w:val="21"/>
          <w:shd w:val="clear" w:fill="FFFFFF"/>
        </w:rPr>
        <w:t>  </w:t>
      </w:r>
    </w:p>
    <w:p>
      <w:pPr>
        <w:pStyle w:val="3"/>
        <w:keepNext w:val="0"/>
        <w:keepLines w:val="0"/>
        <w:widowControl/>
        <w:suppressLineNumbers w:val="0"/>
        <w:shd w:val="clear" w:fill="FFFFFF"/>
        <w:spacing w:before="0" w:beforeAutospacing="0" w:after="150" w:afterAutospacing="0" w:line="555" w:lineRule="atLeast"/>
        <w:ind w:right="0"/>
        <w:jc w:val="righ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青岛市市政公用工程质量安全监督站</w:t>
      </w:r>
    </w:p>
    <w:p>
      <w:pPr>
        <w:pStyle w:val="3"/>
        <w:keepNext w:val="0"/>
        <w:keepLines w:val="0"/>
        <w:widowControl/>
        <w:suppressLineNumbers w:val="0"/>
        <w:shd w:val="clear" w:fill="FFFFFF"/>
        <w:spacing w:before="0" w:beforeAutospacing="0" w:after="150" w:afterAutospacing="0" w:line="555" w:lineRule="atLeast"/>
        <w:ind w:left="0" w:right="0" w:firstLine="660"/>
        <w:jc w:val="righ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                            2024年3月28日</w:t>
      </w:r>
    </w:p>
    <w:p>
      <w:pPr>
        <w:pStyle w:val="3"/>
        <w:keepNext w:val="0"/>
        <w:keepLines w:val="0"/>
        <w:widowControl/>
        <w:suppressLineNumbers w:val="0"/>
        <w:shd w:val="clear" w:fill="FFFFFF"/>
        <w:spacing w:before="0" w:beforeAutospacing="0" w:after="150" w:afterAutospacing="0"/>
        <w:ind w:left="0" w:right="0"/>
        <w:jc w:val="left"/>
        <w:rPr>
          <w:rFonts w:hint="default" w:ascii="Helvetica" w:hAnsi="Helvetica" w:eastAsia="Helvetica" w:cs="Helvetica"/>
          <w:color w:val="333333"/>
          <w:sz w:val="21"/>
          <w:szCs w:val="21"/>
        </w:rPr>
      </w:pPr>
      <w:r>
        <w:rPr>
          <w:rFonts w:hint="default" w:ascii="Helvetica" w:hAnsi="Helvetica" w:eastAsia="Helvetica" w:cs="Helvetica"/>
          <w:i w:val="0"/>
          <w:iCs w:val="0"/>
          <w:caps w:val="0"/>
          <w:color w:val="333333"/>
          <w:spacing w:val="0"/>
          <w:sz w:val="21"/>
          <w:szCs w:val="21"/>
          <w:shd w:val="clear" w:fill="FFFFFF"/>
        </w:rPr>
        <w:t> </w:t>
      </w:r>
    </w:p>
    <w:p>
      <w:pPr>
        <w:pStyle w:val="3"/>
        <w:keepNext w:val="0"/>
        <w:keepLines w:val="0"/>
        <w:widowControl/>
        <w:suppressLineNumbers w:val="0"/>
        <w:shd w:val="clear" w:fill="FFFFFF"/>
        <w:spacing w:before="0" w:beforeAutospacing="0" w:after="150" w:afterAutospacing="0"/>
        <w:ind w:left="0" w:right="0"/>
        <w:jc w:val="left"/>
        <w:rPr>
          <w:rFonts w:hint="default" w:ascii="Helvetica" w:hAnsi="Helvetica" w:eastAsia="Helvetica" w:cs="Helvetica"/>
          <w:color w:val="333333"/>
          <w:sz w:val="21"/>
          <w:szCs w:val="21"/>
        </w:rPr>
      </w:pPr>
      <w:r>
        <w:rPr>
          <w:rFonts w:hint="default" w:ascii="Helvetica" w:hAnsi="Helvetica" w:eastAsia="Helvetica" w:cs="Helvetica"/>
          <w:i w:val="0"/>
          <w:iCs w:val="0"/>
          <w:caps w:val="0"/>
          <w:color w:val="333333"/>
          <w:spacing w:val="0"/>
          <w:sz w:val="21"/>
          <w:szCs w:val="21"/>
          <w:shd w:val="clear" w:fill="FFFFFF"/>
        </w:rPr>
        <w:t> </w:t>
      </w:r>
    </w:p>
    <w:p>
      <w:pPr>
        <w:pStyle w:val="3"/>
        <w:keepNext w:val="0"/>
        <w:keepLines w:val="0"/>
        <w:widowControl/>
        <w:suppressLineNumbers w:val="0"/>
        <w:shd w:val="clear" w:fill="FFFFFF"/>
        <w:spacing w:before="0" w:beforeAutospacing="0" w:after="150" w:afterAutospacing="0" w:line="555" w:lineRule="atLeast"/>
        <w:ind w:left="3960" w:right="0" w:hanging="3075"/>
        <w:jc w:val="center"/>
        <w:rPr>
          <w:rFonts w:ascii="方正小标宋_GBK" w:hAnsi="方正小标宋_GBK" w:eastAsia="方正小标宋_GBK" w:cs="方正小标宋_GBK"/>
          <w:i w:val="0"/>
          <w:iCs w:val="0"/>
          <w:caps w:val="0"/>
          <w:color w:val="333333"/>
          <w:spacing w:val="0"/>
          <w:sz w:val="43"/>
          <w:szCs w:val="43"/>
          <w:shd w:val="clear" w:fill="FFFFFF"/>
        </w:rPr>
      </w:pPr>
    </w:p>
    <w:p>
      <w:pPr>
        <w:pStyle w:val="3"/>
        <w:keepNext w:val="0"/>
        <w:keepLines w:val="0"/>
        <w:widowControl/>
        <w:suppressLineNumbers w:val="0"/>
        <w:shd w:val="clear" w:fill="FFFFFF"/>
        <w:spacing w:before="0" w:beforeAutospacing="0" w:after="150" w:afterAutospacing="0" w:line="555" w:lineRule="atLeast"/>
        <w:ind w:left="3960" w:right="0" w:hanging="3075"/>
        <w:jc w:val="center"/>
        <w:rPr>
          <w:rFonts w:ascii="方正小标宋_GBK" w:hAnsi="方正小标宋_GBK" w:eastAsia="方正小标宋_GBK" w:cs="方正小标宋_GBK"/>
          <w:i w:val="0"/>
          <w:iCs w:val="0"/>
          <w:caps w:val="0"/>
          <w:color w:val="333333"/>
          <w:spacing w:val="0"/>
          <w:sz w:val="43"/>
          <w:szCs w:val="43"/>
          <w:shd w:val="clear" w:fill="FFFFFF"/>
        </w:rPr>
      </w:pPr>
    </w:p>
    <w:p>
      <w:pPr>
        <w:pStyle w:val="3"/>
        <w:keepNext w:val="0"/>
        <w:keepLines w:val="0"/>
        <w:widowControl/>
        <w:suppressLineNumbers w:val="0"/>
        <w:shd w:val="clear" w:fill="FFFFFF"/>
        <w:spacing w:before="0" w:beforeAutospacing="0" w:after="150" w:afterAutospacing="0" w:line="555" w:lineRule="atLeast"/>
        <w:ind w:left="3960" w:right="0" w:hanging="3075"/>
        <w:jc w:val="both"/>
        <w:rPr>
          <w:rFonts w:ascii="方正小标宋_GBK" w:hAnsi="方正小标宋_GBK" w:eastAsia="方正小标宋_GBK" w:cs="方正小标宋_GBK"/>
          <w:i w:val="0"/>
          <w:iCs w:val="0"/>
          <w:caps w:val="0"/>
          <w:color w:val="333333"/>
          <w:spacing w:val="0"/>
          <w:sz w:val="36"/>
          <w:szCs w:val="36"/>
          <w:shd w:val="clear" w:fill="FFFFFF"/>
        </w:rPr>
      </w:pPr>
    </w:p>
    <w:p>
      <w:pPr>
        <w:pStyle w:val="3"/>
        <w:keepNext w:val="0"/>
        <w:keepLines w:val="0"/>
        <w:widowControl/>
        <w:suppressLineNumbers w:val="0"/>
        <w:shd w:val="clear" w:fill="FFFFFF"/>
        <w:spacing w:before="0" w:beforeAutospacing="0" w:after="150" w:afterAutospacing="0" w:line="555" w:lineRule="atLeast"/>
        <w:ind w:right="0"/>
        <w:jc w:val="center"/>
        <w:rPr>
          <w:rFonts w:ascii="方正小标宋_GBK" w:hAnsi="方正小标宋_GBK" w:eastAsia="方正小标宋_GBK" w:cs="方正小标宋_GBK"/>
          <w:i w:val="0"/>
          <w:iCs w:val="0"/>
          <w:caps w:val="0"/>
          <w:color w:val="333333"/>
          <w:spacing w:val="0"/>
          <w:sz w:val="36"/>
          <w:szCs w:val="36"/>
          <w:shd w:val="clear" w:fill="FFFFFF"/>
        </w:rPr>
      </w:pPr>
    </w:p>
    <w:p>
      <w:pPr>
        <w:pStyle w:val="3"/>
        <w:keepNext w:val="0"/>
        <w:keepLines w:val="0"/>
        <w:widowControl/>
        <w:suppressLineNumbers w:val="0"/>
        <w:shd w:val="clear" w:fill="FFFFFF"/>
        <w:spacing w:before="0" w:beforeAutospacing="0" w:after="150" w:afterAutospacing="0" w:line="555" w:lineRule="atLeast"/>
        <w:ind w:right="0"/>
        <w:jc w:val="center"/>
        <w:rPr>
          <w:rFonts w:hint="default" w:ascii="方正小标宋_GBK" w:hAnsi="方正小标宋_GBK" w:eastAsia="方正小标宋_GBK" w:cs="方正小标宋_GBK"/>
          <w:i w:val="0"/>
          <w:iCs w:val="0"/>
          <w:caps w:val="0"/>
          <w:color w:val="333333"/>
          <w:spacing w:val="0"/>
          <w:sz w:val="36"/>
          <w:szCs w:val="36"/>
          <w:shd w:val="clear" w:fill="FFFFFF"/>
        </w:rPr>
      </w:pPr>
      <w:r>
        <w:rPr>
          <w:rFonts w:ascii="方正小标宋_GBK" w:hAnsi="方正小标宋_GBK" w:eastAsia="方正小标宋_GBK" w:cs="方正小标宋_GBK"/>
          <w:i w:val="0"/>
          <w:iCs w:val="0"/>
          <w:caps w:val="0"/>
          <w:color w:val="333333"/>
          <w:spacing w:val="0"/>
          <w:sz w:val="36"/>
          <w:szCs w:val="36"/>
          <w:shd w:val="clear" w:fill="FFFFFF"/>
        </w:rPr>
        <w:t>市政公用工程文明施工分类分级分阶段</w:t>
      </w:r>
      <w:r>
        <w:rPr>
          <w:rFonts w:hint="default" w:ascii="方正小标宋_GBK" w:hAnsi="方正小标宋_GBK" w:eastAsia="方正小标宋_GBK" w:cs="方正小标宋_GBK"/>
          <w:i w:val="0"/>
          <w:iCs w:val="0"/>
          <w:caps w:val="0"/>
          <w:color w:val="333333"/>
          <w:spacing w:val="0"/>
          <w:sz w:val="36"/>
          <w:szCs w:val="36"/>
          <w:shd w:val="clear" w:fill="FFFFFF"/>
        </w:rPr>
        <w:t>精细化</w:t>
      </w:r>
    </w:p>
    <w:p>
      <w:pPr>
        <w:pStyle w:val="3"/>
        <w:keepNext w:val="0"/>
        <w:keepLines w:val="0"/>
        <w:widowControl/>
        <w:suppressLineNumbers w:val="0"/>
        <w:shd w:val="clear" w:fill="FFFFFF"/>
        <w:spacing w:before="0" w:beforeAutospacing="0" w:after="150" w:afterAutospacing="0" w:line="555" w:lineRule="atLeast"/>
        <w:ind w:right="0"/>
        <w:jc w:val="center"/>
        <w:rPr>
          <w:rFonts w:hint="default" w:ascii="Helvetica" w:hAnsi="Helvetica" w:eastAsia="Helvetica" w:cs="Helvetica"/>
          <w:color w:val="333333"/>
          <w:sz w:val="18"/>
          <w:szCs w:val="18"/>
        </w:rPr>
      </w:pPr>
      <w:r>
        <w:rPr>
          <w:rFonts w:hint="default" w:ascii="方正小标宋_GBK" w:hAnsi="方正小标宋_GBK" w:eastAsia="方正小标宋_GBK" w:cs="方正小标宋_GBK"/>
          <w:i w:val="0"/>
          <w:iCs w:val="0"/>
          <w:caps w:val="0"/>
          <w:color w:val="333333"/>
          <w:spacing w:val="0"/>
          <w:sz w:val="36"/>
          <w:szCs w:val="36"/>
          <w:shd w:val="clear" w:fill="FFFFFF"/>
        </w:rPr>
        <w:t>管理实施方案</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Helvetica" w:hAnsi="Helvetica" w:eastAsia="Helvetica" w:cs="Helvetica"/>
          <w:i w:val="0"/>
          <w:iCs w:val="0"/>
          <w:caps w:val="0"/>
          <w:color w:val="333333"/>
          <w:spacing w:val="0"/>
          <w:sz w:val="21"/>
          <w:szCs w:val="21"/>
          <w:shd w:val="clear" w:fill="FFFFFF"/>
        </w:rPr>
        <w:t> </w:t>
      </w:r>
      <w:r>
        <w:rPr>
          <w:rFonts w:hint="default" w:ascii="仿宋_GB2312" w:hAnsi="Helvetica" w:eastAsia="仿宋_GB2312" w:cs="仿宋_GB2312"/>
          <w:i w:val="0"/>
          <w:iCs w:val="0"/>
          <w:caps w:val="0"/>
          <w:color w:val="333333"/>
          <w:spacing w:val="0"/>
          <w:sz w:val="31"/>
          <w:szCs w:val="31"/>
          <w:shd w:val="clear" w:fill="FFFFFF"/>
        </w:rPr>
        <w:t>各区（市）市政公用工程监督管理部门，各有关单位：</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为进一步提升全市市政公用工程文明施工精细化、标准化、差异化监管水平，强化施工全过程文明施工管理，推行市政公用工程（含轨道交通工程）分类、分级、分阶段精细化管理，特制定工作方案如下：</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ascii="黑体" w:hAnsi="宋体" w:eastAsia="黑体" w:cs="黑体"/>
          <w:i w:val="0"/>
          <w:iCs w:val="0"/>
          <w:caps w:val="0"/>
          <w:color w:val="333333"/>
          <w:spacing w:val="0"/>
          <w:sz w:val="31"/>
          <w:szCs w:val="31"/>
          <w:shd w:val="clear" w:fill="FFFFFF"/>
        </w:rPr>
        <w:t>一、文明施工分类分级分阶段划分</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各区（市）市政公用工程监督管理部门结合项目文明施工自评情况和现场核查情况，定期对监管项目文明施工管理情况进行分类、分级、分阶段动态评价，实行文明施工精细化、标准化、差异化监管。</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ascii="楷体_GB2312" w:hAnsi="Helvetica" w:eastAsia="楷体_GB2312" w:cs="楷体_GB2312"/>
          <w:i w:val="0"/>
          <w:iCs w:val="0"/>
          <w:caps w:val="0"/>
          <w:color w:val="333333"/>
          <w:spacing w:val="0"/>
          <w:sz w:val="31"/>
          <w:szCs w:val="31"/>
          <w:shd w:val="clear" w:fill="FFFFFF"/>
        </w:rPr>
        <w:t>（一）类别划分</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市直管市政公用工程主要划分为市政工程(道路、桥梁、隧道）、公用工程（燃气、供热管道）和轨道交通工程三大类；各区（市）市政公用工程监督管理部门根据各自三定职责规定，按照实际监管职责进行划分，实行文明施工分类管控，精准施策。</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（二）等级划分</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各市政公用工程项目部根据文明施工实际管理情况，综合评估项目文明施工制度方案落实情况、各项措施落实情况、常态化管理情况等，按照项目分类选择市政、公用和轨道交通工程施工现场文明施工分级管理评分表（附件1、2、3），进行评分，依据分值高低，从好到差评定为“A、B、C、D”四个等级：</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A级（P≥90）：项目文明施工常态化管理良好，封闭围挡、雾炮、车辆冲洗、出入口硬化、扬尘在线检测设备等文明施工措施到位，文明施工措施处于行业领先水平的。</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B级（80≤P＜90)：项目文明施工常态化管理较好，整体稳定可控的，存在轻微问题，能够主动改正的。</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C级（70≤P＜80）：项目文明施工管理存在一般问题，需要改进提升的；或现场个别文明施工措施未落实到位，经督促能够及时进行整改落实的。</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D级（P&lt;70）：项目文明施工管理较差，多项文明施工措施整改不及时、不到位的；或被市级及以上部门曝光、通报的。</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（三）阶段划分</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考虑各工程施工不同阶段，施工内容不同，划分为施工准备阶段、施工过程阶段和施工收尾阶段，根据各阶段施工过程中文明施工问题，实行分阶段精准管控。</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施工前准备阶段：编制文明施工方案、扬尘防治工作专项方案、渣土运输专项方案、围挡设置方案等，组织设置封闭围挡、车辆冲洗装置、扬尘在线检测设备以及道路硬化等。</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施工过程阶段：落实扬尘防治“六项措施”，加强土石方湿法作业、渣土运输密闭管理、非道路移动机械环保编码等检查。</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施工收尾阶段：项目完工后要求做到工完场地清，及时拆除施工围挡，清运建筑垃圾、补植绿化等。</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eastAsia" w:ascii="黑体" w:hAnsi="宋体" w:eastAsia="黑体" w:cs="黑体"/>
          <w:i w:val="0"/>
          <w:iCs w:val="0"/>
          <w:caps w:val="0"/>
          <w:color w:val="333333"/>
          <w:spacing w:val="0"/>
          <w:sz w:val="31"/>
          <w:szCs w:val="31"/>
          <w:shd w:val="clear" w:fill="FFFFFF"/>
        </w:rPr>
        <w:t>二、评价评级</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（一）分级评价</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每施工阶段的《市政公用及轨道交通工程文明施分工阶段自评表》（附件4）经项目自评、监理单位审查、建设单位审核后，由施工单位向属地监管部门报送，项目属地监管部门牵头组织在各施工阶段进行一次评价，项目监管部门结合项目自评、现场管理、日常监督检查、现场核查等方式，确定项目文明施工A、B、C、D评价等级，市市政公用监督站将对项目评级情况进行抽查。</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（二）评分方式</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根据项目分类选择市政、公用和轨道交通工程施工现场文明施工管理分级评分表进行评分，满分值为 100 分，评分表的实得分值应为各检查项目所得分值之和（P）。</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当评分遇有缺项时，实得分值应按下式计算：</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P=(A/B)×100 式中：</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P — 遇有缺项时的评价分值；</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    A — 实查项目在该表的实得分值之和；</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    B — 实查项目在该表的应得满分值之和。</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    （三）差异化管理</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    对A级项目以巡查指导为主，鼓励企业强化自主管理、自我约束；对B级项目开展正常监督，加强文明施工常态化管理；对C级项目进行帮扶监督，适当加大检查频次，及时督促问题整改落实；对D级项目进行重点关注、诊断检查，对整改不到位或拒不整改的，进行告诫约谈、通报批评、停工或信用考核等处理。</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eastAsia" w:ascii="黑体" w:hAnsi="宋体" w:eastAsia="黑体" w:cs="黑体"/>
          <w:i w:val="0"/>
          <w:iCs w:val="0"/>
          <w:caps w:val="0"/>
          <w:color w:val="333333"/>
          <w:spacing w:val="0"/>
          <w:sz w:val="31"/>
          <w:szCs w:val="31"/>
          <w:shd w:val="clear" w:fill="FFFFFF"/>
        </w:rPr>
        <w:t>三、实施步骤</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    （一）建立分类分级工作台账。</w:t>
      </w:r>
      <w:r>
        <w:rPr>
          <w:rFonts w:hint="default" w:ascii="仿宋_GB2312" w:hAnsi="Helvetica" w:eastAsia="仿宋_GB2312" w:cs="仿宋_GB2312"/>
          <w:i w:val="0"/>
          <w:iCs w:val="0"/>
          <w:caps w:val="0"/>
          <w:color w:val="333333"/>
          <w:spacing w:val="0"/>
          <w:sz w:val="31"/>
          <w:szCs w:val="31"/>
          <w:shd w:val="clear" w:fill="FFFFFF"/>
        </w:rPr>
        <w:t>各市政公用工程在4月10日前完成自评，并将《市政公用及轨道交通工程文明施工分阶段自评表》（附件4）报送至属地市政公用工程监督管理部门，项目监管部门结合日常监督检查及项目自评情况，对各项目评级情况进行审查，并建立《市政公用及轨道交通工程文明施工评级台账》（附件5），首次评级情况请于2024年4月28日前完成，并在每月28日前将《市政公用及轨道交通工程文明施工评价台账》通过微信工作群报送至青岛市市政公用工程质量安全监督站环境整治专班。</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    （二）开展文明施工评价检查。</w:t>
      </w:r>
      <w:r>
        <w:rPr>
          <w:rFonts w:hint="default" w:ascii="仿宋_GB2312" w:hAnsi="Helvetica" w:eastAsia="仿宋_GB2312" w:cs="仿宋_GB2312"/>
          <w:i w:val="0"/>
          <w:iCs w:val="0"/>
          <w:caps w:val="0"/>
          <w:color w:val="333333"/>
          <w:spacing w:val="0"/>
          <w:sz w:val="31"/>
          <w:szCs w:val="31"/>
          <w:shd w:val="clear" w:fill="FFFFFF"/>
        </w:rPr>
        <w:t>属地市政公用工程监督管理部门结合日常监督检查和专项检查对项目文明施工阶段评价情况进行检查，依据检查情况动态调整评级等级，对文明施工问题频发或被市级部门通报的项目及时进行降级调整和处理。</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    （三）开展不定期抽查检查。</w:t>
      </w:r>
      <w:r>
        <w:rPr>
          <w:rFonts w:hint="default" w:ascii="仿宋_GB2312" w:hAnsi="Helvetica" w:eastAsia="仿宋_GB2312" w:cs="仿宋_GB2312"/>
          <w:i w:val="0"/>
          <w:iCs w:val="0"/>
          <w:caps w:val="0"/>
          <w:color w:val="333333"/>
          <w:spacing w:val="0"/>
          <w:sz w:val="31"/>
          <w:szCs w:val="31"/>
          <w:shd w:val="clear" w:fill="FFFFFF"/>
        </w:rPr>
        <w:t>市市政公用监督站将根据属地市政公用工程监督管理部门报送的评级台账，不定期进行抽查，指导各区（市）完善文明施工分类分级分阶段精细化管理措施，发现评级不符合要求的或文明施工存在严重问题的项目，及时进行通报、降级处理等。</w:t>
      </w:r>
    </w:p>
    <w:p>
      <w:pPr>
        <w:pStyle w:val="3"/>
        <w:keepNext w:val="0"/>
        <w:keepLines w:val="0"/>
        <w:widowControl/>
        <w:suppressLineNumbers w:val="0"/>
        <w:shd w:val="clear" w:fill="FFFFFF"/>
        <w:spacing w:before="0" w:beforeAutospacing="0" w:after="150" w:afterAutospacing="0" w:line="555" w:lineRule="atLeast"/>
        <w:ind w:left="0" w:right="0" w:firstLine="645"/>
        <w:jc w:val="left"/>
        <w:rPr>
          <w:rFonts w:hint="default" w:ascii="Helvetica" w:hAnsi="Helvetica" w:eastAsia="Helvetica" w:cs="Helvetica"/>
          <w:color w:val="333333"/>
          <w:sz w:val="21"/>
          <w:szCs w:val="21"/>
        </w:rPr>
      </w:pPr>
      <w:r>
        <w:rPr>
          <w:rFonts w:hint="eastAsia" w:ascii="黑体" w:hAnsi="宋体" w:eastAsia="黑体" w:cs="黑体"/>
          <w:i w:val="0"/>
          <w:iCs w:val="0"/>
          <w:caps w:val="0"/>
          <w:color w:val="333333"/>
          <w:spacing w:val="0"/>
          <w:sz w:val="31"/>
          <w:szCs w:val="31"/>
          <w:shd w:val="clear" w:fill="FFFFFF"/>
        </w:rPr>
        <w:t>四、工作要求</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    （一）高度重视。</w:t>
      </w:r>
      <w:r>
        <w:rPr>
          <w:rFonts w:hint="default" w:ascii="仿宋_GB2312" w:hAnsi="Helvetica" w:eastAsia="仿宋_GB2312" w:cs="仿宋_GB2312"/>
          <w:i w:val="0"/>
          <w:iCs w:val="0"/>
          <w:caps w:val="0"/>
          <w:color w:val="333333"/>
          <w:spacing w:val="0"/>
          <w:sz w:val="31"/>
          <w:szCs w:val="31"/>
          <w:shd w:val="clear" w:fill="FFFFFF"/>
        </w:rPr>
        <w:t>各区（市）市政公用工程监督管理部门、各参建单位要充分认识加强文明施工管理的重要性，认真落实文明施工分类分级分阶段精细化管理要求。</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    （二）强化引导。</w:t>
      </w:r>
      <w:r>
        <w:rPr>
          <w:rFonts w:hint="default" w:ascii="仿宋_GB2312" w:hAnsi="Helvetica" w:eastAsia="仿宋_GB2312" w:cs="仿宋_GB2312"/>
          <w:i w:val="0"/>
          <w:iCs w:val="0"/>
          <w:caps w:val="0"/>
          <w:color w:val="333333"/>
          <w:spacing w:val="0"/>
          <w:sz w:val="31"/>
          <w:szCs w:val="31"/>
          <w:shd w:val="clear" w:fill="FFFFFF"/>
        </w:rPr>
        <w:t>各区（市）市政公用工程监督管理部门要积极引导各参建单位推行文明施工分类分级分阶段精细化管理,提升市政公用工程文明施工精细化、标准化、常态化管理水平。</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21"/>
          <w:szCs w:val="21"/>
        </w:rPr>
      </w:pPr>
      <w:r>
        <w:rPr>
          <w:rFonts w:hint="default" w:ascii="楷体_GB2312" w:hAnsi="Helvetica" w:eastAsia="楷体_GB2312" w:cs="楷体_GB2312"/>
          <w:i w:val="0"/>
          <w:iCs w:val="0"/>
          <w:caps w:val="0"/>
          <w:color w:val="333333"/>
          <w:spacing w:val="0"/>
          <w:sz w:val="31"/>
          <w:szCs w:val="31"/>
          <w:shd w:val="clear" w:fill="FFFFFF"/>
        </w:rPr>
        <w:t>    （三）健全完善激励机制。</w:t>
      </w:r>
      <w:r>
        <w:rPr>
          <w:rFonts w:hint="default" w:ascii="仿宋_GB2312" w:hAnsi="Helvetica" w:eastAsia="仿宋_GB2312" w:cs="仿宋_GB2312"/>
          <w:i w:val="0"/>
          <w:iCs w:val="0"/>
          <w:caps w:val="0"/>
          <w:color w:val="333333"/>
          <w:spacing w:val="0"/>
          <w:sz w:val="31"/>
          <w:szCs w:val="31"/>
          <w:shd w:val="clear" w:fill="FFFFFF"/>
        </w:rPr>
        <w:t>对在文明施工分类分级分阶段精细化管理工作中表现突出的单位和个人进行通报表扬，对形成的先进经验和优秀成果组织观摩推广。</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i w:val="0"/>
          <w:iCs w:val="0"/>
          <w:caps w:val="0"/>
          <w:color w:val="333333"/>
          <w:spacing w:val="0"/>
          <w:sz w:val="21"/>
          <w:szCs w:val="21"/>
          <w:shd w:val="clear" w:fill="FFFFFF"/>
        </w:rPr>
      </w:pPr>
      <w:r>
        <w:rPr>
          <w:rFonts w:hint="default" w:ascii="Helvetica" w:hAnsi="Helvetica" w:eastAsia="Helvetica" w:cs="Helvetica"/>
          <w:i w:val="0"/>
          <w:iCs w:val="0"/>
          <w:caps w:val="0"/>
          <w:color w:val="333333"/>
          <w:spacing w:val="0"/>
          <w:sz w:val="21"/>
          <w:szCs w:val="21"/>
          <w:shd w:val="clear" w:fill="FFFFFF"/>
        </w:rPr>
        <w:t>  </w:t>
      </w:r>
    </w:p>
    <w:p>
      <w:pPr>
        <w:pStyle w:val="3"/>
        <w:keepNext w:val="0"/>
        <w:keepLines w:val="0"/>
        <w:widowControl/>
        <w:suppressLineNumbers w:val="0"/>
        <w:shd w:val="clear" w:fill="FFFFFF"/>
        <w:spacing w:before="0" w:beforeAutospacing="0" w:after="150" w:afterAutospacing="0" w:line="555" w:lineRule="atLeast"/>
        <w:ind w:left="0" w:right="0"/>
        <w:jc w:val="left"/>
        <w:rPr>
          <w:rFonts w:hint="default" w:ascii="Helvetica" w:hAnsi="Helvetica" w:eastAsia="Helvetica" w:cs="Helvetica"/>
          <w:color w:val="333333"/>
          <w:sz w:val="31"/>
          <w:szCs w:val="31"/>
        </w:rPr>
      </w:pPr>
      <w:r>
        <w:rPr>
          <w:rFonts w:hint="default" w:ascii="Helvetica" w:hAnsi="Helvetica" w:eastAsia="Helvetica" w:cs="Helvetica"/>
          <w:i w:val="0"/>
          <w:iCs w:val="0"/>
          <w:caps w:val="0"/>
          <w:color w:val="333333"/>
          <w:spacing w:val="0"/>
          <w:sz w:val="31"/>
          <w:szCs w:val="31"/>
          <w:shd w:val="clear" w:fill="FFFFFF"/>
        </w:rPr>
        <w:t>    </w:t>
      </w:r>
      <w:r>
        <w:rPr>
          <w:rFonts w:ascii="sans-serif" w:hAnsi="sans-serif" w:eastAsia="sans-serif" w:cs="sans-serif"/>
          <w:i w:val="0"/>
          <w:iCs w:val="0"/>
          <w:caps w:val="0"/>
          <w:color w:val="333333"/>
          <w:spacing w:val="0"/>
          <w:sz w:val="24"/>
          <w:szCs w:val="24"/>
          <w:bdr w:val="none" w:color="auto" w:sz="0" w:space="0"/>
          <w:shd w:val="clear" w:fill="FFFFFF"/>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shd w:val="clear" w:fill="FFFFFF"/>
        </w:rPr>
        <w:fldChar w:fldCharType="begin"/>
      </w:r>
      <w:r>
        <w:rPr>
          <w:rFonts w:hint="default" w:ascii="仿宋_GB2312" w:hAnsi="Helvetica" w:eastAsia="仿宋_GB2312" w:cs="仿宋_GB2312"/>
          <w:i w:val="0"/>
          <w:iCs w:val="0"/>
          <w:caps w:val="0"/>
          <w:color w:val="0066CC"/>
          <w:spacing w:val="0"/>
          <w:sz w:val="31"/>
          <w:szCs w:val="31"/>
          <w:u w:val="none"/>
          <w:shd w:val="clear" w:fill="FFFFFF"/>
        </w:rPr>
        <w:instrText xml:space="preserve"> HYPERLINK "http://sjw.qingdao.gov.cn/cxjsj23/cxjsj131/202403/P020240328597915583148.rar" \o "附件1-5.rar" </w:instrText>
      </w:r>
      <w:r>
        <w:rPr>
          <w:rFonts w:hint="default" w:ascii="仿宋_GB2312" w:hAnsi="Helvetica" w:eastAsia="仿宋_GB2312" w:cs="仿宋_GB2312"/>
          <w:i w:val="0"/>
          <w:iCs w:val="0"/>
          <w:caps w:val="0"/>
          <w:color w:val="0066CC"/>
          <w:spacing w:val="0"/>
          <w:sz w:val="31"/>
          <w:szCs w:val="31"/>
          <w:u w:val="none"/>
          <w:shd w:val="clear" w:fill="FFFFFF"/>
        </w:rPr>
        <w:fldChar w:fldCharType="separate"/>
      </w:r>
      <w:r>
        <w:rPr>
          <w:rStyle w:val="6"/>
          <w:rFonts w:hint="default" w:ascii="仿宋_GB2312" w:hAnsi="Helvetica" w:eastAsia="仿宋_GB2312" w:cs="仿宋_GB2312"/>
          <w:i w:val="0"/>
          <w:iCs w:val="0"/>
          <w:caps w:val="0"/>
          <w:color w:val="0066CC"/>
          <w:spacing w:val="0"/>
          <w:sz w:val="31"/>
          <w:szCs w:val="31"/>
          <w:u w:val="none"/>
          <w:shd w:val="clear" w:fill="FFFFFF"/>
        </w:rPr>
        <w:t>附件1-5.rar</w:t>
      </w:r>
      <w:r>
        <w:rPr>
          <w:rFonts w:hint="default" w:ascii="仿宋_GB2312" w:hAnsi="Helvetica" w:eastAsia="仿宋_GB2312" w:cs="仿宋_GB2312"/>
          <w:i w:val="0"/>
          <w:iCs w:val="0"/>
          <w:caps w:val="0"/>
          <w:color w:val="0066CC"/>
          <w:spacing w:val="0"/>
          <w:sz w:val="31"/>
          <w:szCs w:val="31"/>
          <w:u w:val="none"/>
          <w:shd w:val="clear" w:fill="FFFFFF"/>
        </w:rPr>
        <w:fldChar w:fldCharType="end"/>
      </w:r>
    </w:p>
    <w:p>
      <w:pPr>
        <w:pStyle w:val="3"/>
        <w:keepNext w:val="0"/>
        <w:keepLines w:val="0"/>
        <w:widowControl/>
        <w:suppressLineNumbers w:val="0"/>
        <w:shd w:val="clear" w:fill="FFFFFF"/>
        <w:spacing w:before="0" w:beforeAutospacing="0" w:after="150" w:afterAutospacing="0"/>
        <w:ind w:left="0" w:right="0"/>
        <w:jc w:val="left"/>
        <w:rPr>
          <w:rFonts w:hint="default" w:ascii="Helvetica" w:hAnsi="Helvetica" w:eastAsia="Helvetica" w:cs="Helvetica"/>
          <w:i w:val="0"/>
          <w:iCs w:val="0"/>
          <w:caps w:val="0"/>
          <w:color w:val="333333"/>
          <w:spacing w:val="0"/>
          <w:sz w:val="21"/>
          <w:szCs w:val="21"/>
          <w:shd w:val="clear" w:fill="FFFFFF"/>
        </w:rPr>
      </w:pPr>
      <w:r>
        <w:rPr>
          <w:rFonts w:hint="default" w:ascii="Helvetica" w:hAnsi="Helvetica" w:eastAsia="Helvetica" w:cs="Helvetica"/>
          <w:i w:val="0"/>
          <w:iCs w:val="0"/>
          <w:caps w:val="0"/>
          <w:color w:val="333333"/>
          <w:spacing w:val="0"/>
          <w:sz w:val="21"/>
          <w:szCs w:val="21"/>
          <w:shd w:val="clear" w:fill="FFFFFF"/>
        </w:rPr>
        <w:t>     </w:t>
      </w:r>
    </w:p>
    <w:p>
      <w:pPr>
        <w:pStyle w:val="3"/>
        <w:keepNext w:val="0"/>
        <w:keepLines w:val="0"/>
        <w:widowControl/>
        <w:suppressLineNumbers w:val="0"/>
        <w:shd w:val="clear" w:fill="FFFFFF"/>
        <w:spacing w:before="0" w:beforeAutospacing="0" w:after="150" w:afterAutospacing="0"/>
        <w:ind w:left="0" w:right="0"/>
        <w:jc w:val="left"/>
        <w:rPr>
          <w:rFonts w:hint="default" w:ascii="Helvetica" w:hAnsi="Helvetica" w:eastAsia="Helvetica" w:cs="Helvetica"/>
          <w:color w:val="333333"/>
          <w:sz w:val="21"/>
          <w:szCs w:val="21"/>
        </w:rPr>
      </w:pPr>
      <w:r>
        <w:rPr>
          <w:rFonts w:hint="default" w:ascii="仿宋_GB2312" w:hAnsi="Helvetica" w:eastAsia="仿宋_GB2312" w:cs="仿宋_GB2312"/>
          <w:i w:val="0"/>
          <w:iCs w:val="0"/>
          <w:caps w:val="0"/>
          <w:color w:val="333333"/>
          <w:spacing w:val="0"/>
          <w:sz w:val="31"/>
          <w:szCs w:val="31"/>
          <w:shd w:val="clear" w:fill="FFFFFF"/>
        </w:rPr>
        <w:t>（联系人：江辉峰，联系方式：55680162）</w:t>
      </w:r>
    </w:p>
    <w:p/>
    <w:sectPr>
      <w:pgSz w:w="11906" w:h="16838"/>
      <w:pgMar w:top="1383" w:right="1519" w:bottom="138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12B77D0B"/>
    <w:rsid w:val="6A191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2024-03-29T06:09:55Z</dcterms:created>
  <dc:creator>Administrator</dc:creator>
  <cp:lastModifiedBy>刘卫东</cp:lastModifiedBy>
  <dcterms:modified xsi:type="dcterms:W3CDTF">2024-03-29T06:14:02Z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BDF8243219924276B5647A7E5A60D29B_12</vt:lpwstr>
  </property>
</Properties>
</file>