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eastAsia="zh-CN"/>
        </w:rPr>
        <w:t>附件</w:t>
      </w:r>
      <w:r>
        <w:rPr>
          <w:rFonts w:hint="eastAsia" w:ascii="仿宋_GB2312" w:hAnsi="Times New Roman" w:eastAsia="仿宋_GB2312" w:cs="仿宋_GB2312"/>
          <w:sz w:val="32"/>
          <w:szCs w:val="32"/>
          <w:lang w:val="en-US" w:eastAsia="zh-CN"/>
        </w:rPr>
        <w:t>2</w:t>
      </w:r>
      <w:bookmarkStart w:id="3" w:name="_GoBack"/>
      <w:bookmarkEnd w:id="3"/>
    </w:p>
    <w:p>
      <w:pPr>
        <w:widowControl/>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青</w:t>
      </w:r>
      <w:bookmarkStart w:id="0" w:name="_Hlk55394094"/>
      <w:r>
        <w:rPr>
          <w:rFonts w:hint="eastAsia" w:ascii="方正小标宋简体" w:hAnsi="方正小标宋简体" w:eastAsia="方正小标宋简体" w:cs="方正小标宋简体"/>
          <w:sz w:val="44"/>
          <w:szCs w:val="44"/>
        </w:rPr>
        <w:t>岛市</w:t>
      </w:r>
      <w:bookmarkStart w:id="1" w:name="_Hlk54705730"/>
      <w:r>
        <w:rPr>
          <w:rFonts w:hint="eastAsia" w:ascii="方正小标宋简体" w:hAnsi="方正小标宋简体" w:eastAsia="方正小标宋简体" w:cs="方正小标宋简体"/>
          <w:sz w:val="44"/>
          <w:szCs w:val="44"/>
        </w:rPr>
        <w:t>市政公用</w:t>
      </w:r>
      <w:bookmarkEnd w:id="1"/>
      <w:r>
        <w:rPr>
          <w:rFonts w:hint="eastAsia" w:ascii="方正小标宋简体" w:hAnsi="方正小标宋简体" w:eastAsia="方正小标宋简体" w:cs="方正小标宋简体"/>
          <w:sz w:val="44"/>
          <w:szCs w:val="44"/>
          <w:lang w:eastAsia="zh-CN"/>
        </w:rPr>
        <w:t>工程</w:t>
      </w:r>
      <w:r>
        <w:rPr>
          <w:rFonts w:hint="eastAsia" w:ascii="方正小标宋简体" w:hAnsi="方正小标宋简体" w:eastAsia="方正小标宋简体" w:cs="方正小标宋简体"/>
          <w:sz w:val="44"/>
          <w:szCs w:val="44"/>
        </w:rPr>
        <w:t>重污染天气应急</w:t>
      </w:r>
      <w:r>
        <w:rPr>
          <w:rFonts w:hint="eastAsia" w:ascii="方正小标宋简体" w:hAnsi="方正小标宋简体" w:eastAsia="方正小标宋简体" w:cs="方正小标宋简体"/>
          <w:sz w:val="44"/>
          <w:szCs w:val="44"/>
          <w:lang w:eastAsia="zh-CN"/>
        </w:rPr>
        <w:t>响应</w:t>
      </w:r>
    </w:p>
    <w:bookmarkEnd w:id="0"/>
    <w:p>
      <w:pPr>
        <w:spacing w:line="560" w:lineRule="exact"/>
        <w:ind w:firstLine="3080" w:firstLineChars="7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工作明白纸</w:t>
      </w:r>
    </w:p>
    <w:p>
      <w:pPr>
        <w:spacing w:line="560" w:lineRule="exact"/>
        <w:ind w:firstLine="2560" w:firstLineChars="800"/>
        <w:jc w:val="left"/>
        <w:rPr>
          <w:rFonts w:ascii="Calibri" w:hAnsi="Calibri" w:eastAsia="仿宋_GB2312" w:cs="Times New Roman"/>
          <w:sz w:val="32"/>
          <w:szCs w:val="24"/>
        </w:rPr>
      </w:pPr>
    </w:p>
    <w:p>
      <w:pPr>
        <w:spacing w:line="560" w:lineRule="exact"/>
        <w:ind w:firstLine="640" w:firstLineChars="200"/>
        <w:rPr>
          <w:rFonts w:ascii="黑体" w:eastAsia="黑体" w:cs="黑体"/>
          <w:sz w:val="32"/>
          <w:szCs w:val="32"/>
        </w:rPr>
      </w:pPr>
      <w:r>
        <w:rPr>
          <w:rFonts w:hint="eastAsia" w:ascii="黑体" w:eastAsia="黑体" w:cs="黑体"/>
          <w:sz w:val="32"/>
          <w:szCs w:val="32"/>
        </w:rPr>
        <w:t>一、重污染天气预警</w:t>
      </w:r>
    </w:p>
    <w:p>
      <w:pPr>
        <w:spacing w:line="560" w:lineRule="exact"/>
        <w:ind w:firstLine="640" w:firstLineChars="200"/>
        <w:rPr>
          <w:rFonts w:ascii="Times New Roman" w:hAnsi="Times New Roman" w:eastAsia="仿宋_GB2312" w:cs="仿宋_GB2312"/>
          <w:bCs/>
          <w:sz w:val="32"/>
          <w:szCs w:val="24"/>
        </w:rPr>
      </w:pPr>
      <w:r>
        <w:rPr>
          <w:rFonts w:hint="eastAsia" w:ascii="仿宋_GB2312" w:hAnsi="Times New Roman" w:eastAsia="仿宋_GB2312" w:cs="仿宋_GB2312"/>
          <w:sz w:val="32"/>
          <w:szCs w:val="32"/>
        </w:rPr>
        <w:t>重污染天气</w:t>
      </w:r>
      <w:r>
        <w:rPr>
          <w:rFonts w:hint="eastAsia" w:ascii="Times New Roman" w:hAnsi="Times New Roman" w:eastAsia="仿宋_GB2312" w:cs="仿宋_GB2312"/>
          <w:bCs/>
          <w:sz w:val="32"/>
          <w:szCs w:val="24"/>
        </w:rPr>
        <w:t>分细颗粒物（PM</w:t>
      </w:r>
      <w:r>
        <w:rPr>
          <w:rFonts w:hint="eastAsia" w:ascii="Times New Roman" w:hAnsi="Times New Roman" w:eastAsia="仿宋_GB2312" w:cs="仿宋_GB2312"/>
          <w:bCs/>
          <w:sz w:val="32"/>
          <w:szCs w:val="24"/>
          <w:vertAlign w:val="subscript"/>
        </w:rPr>
        <w:t>2.5</w:t>
      </w:r>
      <w:r>
        <w:rPr>
          <w:rFonts w:hint="eastAsia" w:ascii="Times New Roman" w:hAnsi="Times New Roman" w:eastAsia="仿宋_GB2312" w:cs="仿宋_GB2312"/>
          <w:bCs/>
          <w:sz w:val="32"/>
          <w:szCs w:val="24"/>
        </w:rPr>
        <w:t>）为首要污染物的重污染天气和臭氧（O</w:t>
      </w:r>
      <w:r>
        <w:rPr>
          <w:rFonts w:hint="eastAsia" w:ascii="Times New Roman" w:hAnsi="Times New Roman" w:eastAsia="仿宋_GB2312" w:cs="仿宋_GB2312"/>
          <w:bCs/>
          <w:sz w:val="32"/>
          <w:szCs w:val="24"/>
          <w:vertAlign w:val="subscript"/>
        </w:rPr>
        <w:t>3</w:t>
      </w:r>
      <w:r>
        <w:rPr>
          <w:rFonts w:hint="eastAsia" w:ascii="Times New Roman" w:hAnsi="Times New Roman" w:eastAsia="仿宋_GB2312" w:cs="仿宋_GB2312"/>
          <w:bCs/>
          <w:sz w:val="32"/>
          <w:szCs w:val="24"/>
        </w:rPr>
        <w:t>）为首要污染物的重污染天气两种。细颗粒物（PM</w:t>
      </w:r>
      <w:r>
        <w:rPr>
          <w:rFonts w:hint="eastAsia" w:ascii="Times New Roman" w:hAnsi="Times New Roman" w:eastAsia="仿宋_GB2312" w:cs="仿宋_GB2312"/>
          <w:bCs/>
          <w:sz w:val="32"/>
          <w:szCs w:val="24"/>
          <w:vertAlign w:val="subscript"/>
        </w:rPr>
        <w:t>2.5</w:t>
      </w:r>
      <w:r>
        <w:rPr>
          <w:rFonts w:hint="eastAsia" w:ascii="Times New Roman" w:hAnsi="Times New Roman" w:eastAsia="仿宋_GB2312" w:cs="仿宋_GB2312"/>
          <w:bCs/>
          <w:sz w:val="32"/>
          <w:szCs w:val="24"/>
        </w:rPr>
        <w:t>）为首要污染物的重污染天气预警，由低到高分为黄色预警、橙色预警、红色预警三级；臭氧（O</w:t>
      </w:r>
      <w:r>
        <w:rPr>
          <w:rFonts w:hint="eastAsia" w:ascii="Times New Roman" w:hAnsi="Times New Roman" w:eastAsia="仿宋_GB2312" w:cs="仿宋_GB2312"/>
          <w:bCs/>
          <w:sz w:val="32"/>
          <w:szCs w:val="24"/>
          <w:vertAlign w:val="subscript"/>
        </w:rPr>
        <w:t>3</w:t>
      </w:r>
      <w:r>
        <w:rPr>
          <w:rFonts w:hint="eastAsia" w:ascii="Times New Roman" w:hAnsi="Times New Roman" w:eastAsia="仿宋_GB2312" w:cs="仿宋_GB2312"/>
          <w:bCs/>
          <w:sz w:val="32"/>
          <w:szCs w:val="24"/>
        </w:rPr>
        <w:t>）为首要污染物的重污染天气预警不分等级。相关预警信息发布、解除、预警等级调整，以市重污染天气专项应急指挥部及指挥部办公室发布的相关信息为准。</w:t>
      </w:r>
    </w:p>
    <w:p>
      <w:pPr>
        <w:spacing w:line="560" w:lineRule="exact"/>
        <w:ind w:firstLine="640" w:firstLineChars="200"/>
        <w:rPr>
          <w:rFonts w:ascii="黑体" w:eastAsia="黑体" w:cs="黑体"/>
          <w:sz w:val="32"/>
          <w:szCs w:val="32"/>
        </w:rPr>
      </w:pPr>
      <w:r>
        <w:rPr>
          <w:rFonts w:hint="eastAsia" w:ascii="黑体" w:eastAsia="黑体" w:cs="黑体"/>
          <w:sz w:val="32"/>
          <w:szCs w:val="32"/>
        </w:rPr>
        <w:t>二、应急响应</w:t>
      </w:r>
    </w:p>
    <w:p>
      <w:pPr>
        <w:spacing w:line="560" w:lineRule="exact"/>
        <w:ind w:firstLine="640" w:firstLineChars="200"/>
        <w:rPr>
          <w:rFonts w:ascii="楷体_GB2312" w:hAnsi="楷体_GB2312" w:eastAsia="楷体_GB2312" w:cs="楷体_GB2312"/>
          <w:sz w:val="32"/>
          <w:szCs w:val="32"/>
        </w:rPr>
      </w:pPr>
      <w:r>
        <w:rPr>
          <w:rFonts w:hint="eastAsia" w:ascii="黑体" w:eastAsia="黑体" w:cs="黑体"/>
          <w:sz w:val="32"/>
          <w:szCs w:val="32"/>
        </w:rPr>
        <w:t>（一）</w:t>
      </w:r>
      <w:r>
        <w:rPr>
          <w:rFonts w:hint="eastAsia" w:ascii="楷体_GB2312" w:hAnsi="楷体_GB2312" w:eastAsia="楷体_GB2312" w:cs="楷体_GB2312"/>
          <w:sz w:val="32"/>
          <w:szCs w:val="32"/>
        </w:rPr>
        <w:t>对细颗粒物（</w:t>
      </w:r>
      <w:r>
        <w:rPr>
          <w:rFonts w:hint="eastAsia" w:ascii="楷体_GB2312" w:hAnsi="楷体_GB2312" w:eastAsia="楷体_GB2312" w:cs="楷体_GB2312"/>
          <w:bCs/>
          <w:sz w:val="32"/>
          <w:szCs w:val="24"/>
        </w:rPr>
        <w:t>PM</w:t>
      </w:r>
      <w:r>
        <w:rPr>
          <w:rFonts w:hint="eastAsia" w:ascii="楷体_GB2312" w:hAnsi="楷体_GB2312" w:eastAsia="楷体_GB2312" w:cs="楷体_GB2312"/>
          <w:bCs/>
          <w:sz w:val="32"/>
          <w:szCs w:val="24"/>
          <w:vertAlign w:val="subscript"/>
        </w:rPr>
        <w:t>2.5</w:t>
      </w:r>
      <w:r>
        <w:rPr>
          <w:rFonts w:hint="eastAsia" w:ascii="楷体_GB2312" w:hAnsi="楷体_GB2312" w:eastAsia="楷体_GB2312" w:cs="楷体_GB2312"/>
          <w:sz w:val="32"/>
          <w:szCs w:val="32"/>
        </w:rPr>
        <w:t>）为首要污染物的重污染天气实施分级响应</w:t>
      </w:r>
    </w:p>
    <w:p>
      <w:pPr>
        <w:spacing w:line="56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1.处于黄色预警期间，启动Ⅲ级响应措施</w:t>
      </w:r>
      <w:r>
        <w:rPr>
          <w:rFonts w:hint="eastAsia" w:ascii="仿宋_GB2312" w:hAnsi="仿宋_GB2312" w:eastAsia="仿宋_GB2312" w:cs="仿宋_GB2312"/>
          <w:sz w:val="32"/>
          <w:szCs w:val="32"/>
        </w:rPr>
        <w:t>。</w:t>
      </w:r>
    </w:p>
    <w:p>
      <w:pPr>
        <w:spacing w:line="560" w:lineRule="exact"/>
        <w:ind w:firstLine="640" w:firstLineChars="200"/>
        <w:rPr>
          <w:rFonts w:ascii="仿宋_GB2312" w:hAnsi="Calibri" w:eastAsia="仿宋_GB2312" w:cs="仿宋_GB2312"/>
          <w:sz w:val="32"/>
          <w:szCs w:val="32"/>
        </w:rPr>
      </w:pPr>
      <w:r>
        <w:rPr>
          <w:rFonts w:hint="eastAsia" w:ascii="仿宋_GB2312" w:hAnsi="Times New Roman" w:eastAsia="仿宋_GB2312" w:cs="仿宋_GB2312"/>
          <w:sz w:val="32"/>
          <w:szCs w:val="32"/>
        </w:rPr>
        <w:t>（1）加大对施工工地的执法检查频次。</w:t>
      </w:r>
    </w:p>
    <w:p>
      <w:pPr>
        <w:spacing w:line="560" w:lineRule="exact"/>
        <w:ind w:firstLine="640" w:firstLineChars="200"/>
        <w:rPr>
          <w:rFonts w:ascii="仿宋_GB2312" w:hAnsi="Calibri" w:eastAsia="仿宋_GB2312" w:cs="仿宋_GB2312"/>
          <w:sz w:val="32"/>
          <w:szCs w:val="32"/>
        </w:rPr>
      </w:pPr>
      <w:r>
        <w:rPr>
          <w:rFonts w:hint="eastAsia" w:ascii="仿宋_GB2312" w:hAnsi="Times New Roman" w:eastAsia="仿宋_GB2312" w:cs="仿宋_GB2312"/>
          <w:sz w:val="32"/>
          <w:szCs w:val="32"/>
        </w:rPr>
        <w:t>（2）未纳入保障类减排清单的施工工地（应急、抢险、救灾工程以及地下工程除外）禁止土石方作业、建筑拆除、喷涂粉刷、护坡喷浆、混凝土搅拌等。</w:t>
      </w:r>
    </w:p>
    <w:p>
      <w:pPr>
        <w:spacing w:line="560" w:lineRule="exact"/>
        <w:ind w:firstLine="640" w:firstLineChars="200"/>
        <w:rPr>
          <w:rFonts w:ascii="仿宋_GB2312" w:hAnsi="Calibri" w:eastAsia="仿宋_GB2312" w:cs="仿宋_GB2312"/>
          <w:sz w:val="32"/>
          <w:szCs w:val="32"/>
        </w:rPr>
      </w:pPr>
      <w:r>
        <w:rPr>
          <w:rFonts w:hint="eastAsia" w:ascii="仿宋_GB2312" w:hAnsi="Times New Roman" w:eastAsia="仿宋_GB2312" w:cs="仿宋_GB2312"/>
          <w:sz w:val="32"/>
          <w:szCs w:val="32"/>
        </w:rPr>
        <w:t>（3）加强对其他产生扬尘的作业和工序管理，做好对未硬化裸露地面、产尘物料堆场等区域覆盖或洒水降尘。</w:t>
      </w:r>
    </w:p>
    <w:p>
      <w:pPr>
        <w:spacing w:line="560" w:lineRule="exact"/>
        <w:ind w:firstLine="640" w:firstLineChars="200"/>
        <w:rPr>
          <w:rFonts w:ascii="仿宋_GB2312" w:hAnsi="Calibri" w:eastAsia="仿宋_GB2312" w:cs="仿宋_GB2312"/>
          <w:sz w:val="32"/>
          <w:szCs w:val="32"/>
        </w:rPr>
      </w:pPr>
      <w:r>
        <w:rPr>
          <w:rFonts w:hint="eastAsia" w:ascii="仿宋_GB2312" w:hAnsi="Times New Roman" w:eastAsia="仿宋_GB2312" w:cs="仿宋_GB2312"/>
          <w:sz w:val="32"/>
          <w:szCs w:val="32"/>
        </w:rPr>
        <w:t>（4）增加现场清扫、洒水、喷雾等作业频次，在正常保洁基础上，施工工地范围内进出道路清扫、洒水等保洁作业频次每日增加4次，工地作业面洒水抑尘作业频次每日增加4次。</w:t>
      </w:r>
    </w:p>
    <w:p>
      <w:pPr>
        <w:spacing w:line="560" w:lineRule="exact"/>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（5）严格对施工现场出入车辆轮胎、车身冲洗情况的监督检查，加强对运输易产尘物料、建筑废弃物等车辆的出场密闭管理。</w:t>
      </w:r>
    </w:p>
    <w:p>
      <w:pPr>
        <w:spacing w:line="560" w:lineRule="exact"/>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（6）加强非道路移动机械监督检查，依法查处违法行为。</w:t>
      </w:r>
    </w:p>
    <w:p>
      <w:pPr>
        <w:spacing w:line="560" w:lineRule="exact"/>
        <w:ind w:firstLine="642" w:firstLineChars="200"/>
        <w:rPr>
          <w:rFonts w:ascii="楷体_GB2312" w:hAnsi="Calibri" w:eastAsia="仿宋_GB2312" w:cs="楷体_GB2312"/>
          <w:b/>
          <w:sz w:val="32"/>
          <w:szCs w:val="32"/>
        </w:rPr>
      </w:pPr>
      <w:r>
        <w:rPr>
          <w:rFonts w:hint="eastAsia" w:ascii="仿宋_GB2312" w:hAnsi="仿宋_GB2312" w:eastAsia="仿宋_GB2312" w:cs="仿宋_GB2312"/>
          <w:b/>
          <w:sz w:val="32"/>
          <w:szCs w:val="32"/>
        </w:rPr>
        <w:t>2.处于橙色预警期间，启动Ⅱ级响应措施。</w:t>
      </w:r>
    </w:p>
    <w:p>
      <w:pPr>
        <w:tabs>
          <w:tab w:val="left" w:pos="1977"/>
        </w:tabs>
        <w:spacing w:line="560" w:lineRule="exact"/>
        <w:ind w:firstLine="640" w:firstLineChars="200"/>
        <w:rPr>
          <w:rFonts w:ascii="仿宋_GB2312" w:hAnsi="Calibri" w:eastAsia="仿宋_GB2312" w:cs="仿宋_GB2312"/>
          <w:bCs/>
          <w:sz w:val="32"/>
          <w:szCs w:val="32"/>
        </w:rPr>
      </w:pPr>
      <w:r>
        <w:rPr>
          <w:rFonts w:hint="eastAsia" w:ascii="仿宋_GB2312" w:hAnsi="Times New Roman" w:eastAsia="仿宋_GB2312" w:cs="仿宋_GB2312"/>
          <w:bCs/>
          <w:sz w:val="32"/>
          <w:szCs w:val="32"/>
        </w:rPr>
        <w:t>在执行</w:t>
      </w:r>
      <w:r>
        <w:rPr>
          <w:rFonts w:hint="eastAsia" w:ascii="仿宋_GB2312" w:hAnsi="Times New Roman" w:eastAsia="仿宋_GB2312" w:cs="仿宋_GB2312"/>
          <w:sz w:val="32"/>
          <w:szCs w:val="32"/>
        </w:rPr>
        <w:t>Ⅲ级</w:t>
      </w:r>
      <w:r>
        <w:rPr>
          <w:rFonts w:hint="eastAsia" w:ascii="仿宋_GB2312" w:hAnsi="Times New Roman" w:eastAsia="仿宋_GB2312" w:cs="仿宋_GB2312"/>
          <w:bCs/>
          <w:sz w:val="32"/>
          <w:szCs w:val="32"/>
        </w:rPr>
        <w:t>应急响应措施基础上，增加以下措施：</w:t>
      </w:r>
    </w:p>
    <w:p>
      <w:pPr>
        <w:tabs>
          <w:tab w:val="left" w:pos="1977"/>
        </w:tabs>
        <w:spacing w:line="560" w:lineRule="exact"/>
        <w:ind w:firstLine="640" w:firstLineChars="200"/>
        <w:rPr>
          <w:rFonts w:ascii="仿宋_GB2312" w:hAnsi="Calibri" w:eastAsia="仿宋_GB2312" w:cs="仿宋_GB2312"/>
          <w:bCs/>
          <w:sz w:val="32"/>
          <w:szCs w:val="32"/>
        </w:rPr>
      </w:pPr>
      <w:r>
        <w:rPr>
          <w:rFonts w:hint="eastAsia" w:ascii="仿宋_GB2312" w:hAnsi="Times New Roman" w:eastAsia="仿宋_GB2312" w:cs="仿宋_GB2312"/>
          <w:bCs/>
          <w:sz w:val="32"/>
          <w:szCs w:val="32"/>
        </w:rPr>
        <w:t>（1）施工工地范围内进出道路清扫、洒水等保洁作业频次每日再增加2次，工地作业面洒水抑尘作业频次每日再增加2次，总体各增加6次。</w:t>
      </w:r>
    </w:p>
    <w:p>
      <w:pPr>
        <w:tabs>
          <w:tab w:val="left" w:pos="1977"/>
        </w:tabs>
        <w:spacing w:line="560" w:lineRule="exact"/>
        <w:ind w:firstLine="640" w:firstLineChars="200"/>
        <w:rPr>
          <w:rFonts w:ascii="仿宋_GB2312" w:hAnsi="Calibri" w:eastAsia="仿宋_GB2312" w:cs="仿宋_GB2312"/>
          <w:bCs/>
          <w:sz w:val="32"/>
          <w:szCs w:val="32"/>
        </w:rPr>
      </w:pPr>
      <w:r>
        <w:rPr>
          <w:rFonts w:hint="eastAsia" w:ascii="仿宋_GB2312" w:hAnsi="Times New Roman" w:eastAsia="仿宋_GB2312" w:cs="仿宋_GB2312"/>
          <w:bCs/>
          <w:sz w:val="32"/>
          <w:szCs w:val="32"/>
        </w:rPr>
        <w:t>（2）停止使用国二及以下非道路移动机械（清洁能源和紧急检修作业机械除外）。</w:t>
      </w:r>
    </w:p>
    <w:p>
      <w:pPr>
        <w:spacing w:line="560" w:lineRule="exact"/>
        <w:ind w:firstLine="642" w:firstLineChars="200"/>
        <w:rPr>
          <w:rFonts w:ascii="楷体_GB2312" w:hAnsi="Calibri" w:eastAsia="楷体_GB2312" w:cs="楷体_GB2312"/>
          <w:b/>
          <w:sz w:val="32"/>
          <w:szCs w:val="32"/>
        </w:rPr>
      </w:pPr>
      <w:r>
        <w:rPr>
          <w:rFonts w:hint="eastAsia" w:ascii="仿宋_GB2312" w:hAnsi="仿宋_GB2312" w:eastAsia="仿宋_GB2312" w:cs="仿宋_GB2312"/>
          <w:b/>
          <w:sz w:val="32"/>
          <w:szCs w:val="32"/>
        </w:rPr>
        <w:t>3.处于红色预警期间，启动Ⅰ级响应措施。</w:t>
      </w:r>
    </w:p>
    <w:p>
      <w:pPr>
        <w:tabs>
          <w:tab w:val="left" w:pos="1977"/>
        </w:tabs>
        <w:spacing w:line="560" w:lineRule="exact"/>
        <w:ind w:firstLine="640" w:firstLineChars="200"/>
        <w:rPr>
          <w:rFonts w:ascii="仿宋_GB2312" w:hAnsi="Calibri" w:eastAsia="仿宋_GB2312" w:cs="仿宋_GB2312"/>
          <w:bCs/>
          <w:sz w:val="32"/>
          <w:szCs w:val="32"/>
        </w:rPr>
      </w:pPr>
      <w:r>
        <w:rPr>
          <w:rFonts w:hint="eastAsia" w:ascii="仿宋_GB2312" w:hAnsi="Times New Roman" w:eastAsia="仿宋_GB2312" w:cs="仿宋_GB2312"/>
          <w:bCs/>
          <w:sz w:val="32"/>
          <w:szCs w:val="32"/>
        </w:rPr>
        <w:t>在执行Ⅱ级应急响应措施基础上，增加以下措施：</w:t>
      </w:r>
    </w:p>
    <w:p>
      <w:pPr>
        <w:autoSpaceDE w:val="0"/>
        <w:autoSpaceDN w:val="0"/>
        <w:spacing w:line="560" w:lineRule="exact"/>
        <w:ind w:firstLine="640" w:firstLineChars="200"/>
        <w:rPr>
          <w:rFonts w:ascii="仿宋_GB2312" w:hAnsi="Times New Roman" w:eastAsia="仿宋_GB2312" w:cs="仿宋_GB2312"/>
          <w:color w:val="000000"/>
          <w:kern w:val="0"/>
          <w:sz w:val="24"/>
          <w:szCs w:val="24"/>
        </w:rPr>
      </w:pPr>
      <w:r>
        <w:rPr>
          <w:rFonts w:hint="eastAsia" w:ascii="仿宋_GB2312" w:hAnsi="Times New Roman" w:eastAsia="仿宋_GB2312" w:cs="仿宋_GB2312"/>
          <w:color w:val="000000"/>
          <w:kern w:val="0"/>
          <w:sz w:val="32"/>
          <w:szCs w:val="20"/>
        </w:rPr>
        <w:t>施工工地范围内进出道路清扫、洒水等保洁作业频次每日再增加2次，工地作业面洒水抑尘作业频次每日再增加2次，总体各增加8次。</w:t>
      </w:r>
    </w:p>
    <w:p>
      <w:pPr>
        <w:numPr>
          <w:ilvl w:val="0"/>
          <w:numId w:val="1"/>
        </w:numPr>
        <w:spacing w:line="560" w:lineRule="exact"/>
        <w:ind w:firstLine="640" w:firstLineChars="200"/>
        <w:rPr>
          <w:rFonts w:ascii="楷体_GB2312" w:hAnsi="楷体_GB2312" w:eastAsia="楷体_GB2312" w:cs="楷体_GB2312"/>
          <w:bCs/>
          <w:sz w:val="32"/>
          <w:szCs w:val="24"/>
        </w:rPr>
      </w:pPr>
      <w:r>
        <w:rPr>
          <w:rFonts w:hint="eastAsia" w:ascii="楷体_GB2312" w:hAnsi="楷体_GB2312" w:eastAsia="楷体_GB2312" w:cs="楷体_GB2312"/>
          <w:bCs/>
          <w:sz w:val="32"/>
          <w:szCs w:val="24"/>
        </w:rPr>
        <w:t>臭氧（</w:t>
      </w:r>
      <w:r>
        <w:rPr>
          <w:rFonts w:hint="eastAsia" w:ascii="Times New Roman" w:hAnsi="Times New Roman" w:eastAsia="仿宋_GB2312" w:cs="Times New Roman"/>
          <w:bCs/>
          <w:sz w:val="32"/>
          <w:szCs w:val="24"/>
        </w:rPr>
        <w:t>O</w:t>
      </w:r>
      <w:r>
        <w:rPr>
          <w:rFonts w:hint="eastAsia" w:ascii="Times New Roman" w:hAnsi="Times New Roman" w:eastAsia="仿宋_GB2312" w:cs="Times New Roman"/>
          <w:bCs/>
          <w:sz w:val="32"/>
          <w:szCs w:val="24"/>
          <w:vertAlign w:val="subscript"/>
        </w:rPr>
        <w:t>3</w:t>
      </w:r>
      <w:r>
        <w:rPr>
          <w:rFonts w:hint="eastAsia" w:ascii="楷体_GB2312" w:hAnsi="楷体_GB2312" w:eastAsia="楷体_GB2312" w:cs="楷体_GB2312"/>
          <w:bCs/>
          <w:sz w:val="32"/>
          <w:szCs w:val="24"/>
        </w:rPr>
        <w:t>）为首要污染物的重污染应急响应措施。</w:t>
      </w:r>
    </w:p>
    <w:p>
      <w:pPr>
        <w:spacing w:line="560" w:lineRule="exact"/>
        <w:ind w:firstLine="640" w:firstLineChars="200"/>
        <w:rPr>
          <w:rFonts w:ascii="仿宋_GB2312" w:hAnsi="仿宋_GB2312" w:eastAsia="仿宋_GB2312" w:cs="仿宋_GB2312"/>
          <w:bCs/>
          <w:sz w:val="32"/>
          <w:szCs w:val="24"/>
        </w:rPr>
      </w:pPr>
      <w:r>
        <w:rPr>
          <w:rFonts w:hint="eastAsia" w:ascii="仿宋_GB2312" w:hAnsi="仿宋_GB2312" w:eastAsia="仿宋_GB2312" w:cs="仿宋_GB2312"/>
          <w:bCs/>
          <w:sz w:val="32"/>
          <w:szCs w:val="24"/>
        </w:rPr>
        <w:t>1.以建筑施工车辆（新能源和国六排放标准除外）、非道路移动机械（新能源和国三排放标准除外）等为重点，加强防控措施。</w:t>
      </w:r>
    </w:p>
    <w:p>
      <w:pPr>
        <w:spacing w:line="560" w:lineRule="exact"/>
        <w:ind w:firstLine="640" w:firstLineChars="200"/>
        <w:rPr>
          <w:rFonts w:ascii="仿宋_GB2312" w:hAnsi="仿宋_GB2312" w:eastAsia="仿宋_GB2312" w:cs="仿宋_GB2312"/>
          <w:bCs/>
          <w:sz w:val="32"/>
          <w:szCs w:val="24"/>
        </w:rPr>
      </w:pPr>
      <w:r>
        <w:rPr>
          <w:rFonts w:hint="eastAsia" w:ascii="仿宋_GB2312" w:hAnsi="仿宋_GB2312" w:eastAsia="仿宋_GB2312" w:cs="仿宋_GB2312"/>
          <w:bCs/>
          <w:sz w:val="32"/>
          <w:szCs w:val="24"/>
        </w:rPr>
        <w:t>2.城市主城区、市（区）城区可采取分时段停止职责范围内的道路沥青铺设、市政设施和道路（桥梁）防腐作业、道路标识等涂装或翻新作业、房屋修缮、建筑工地喷涂粉刷、大型商业建筑装修、护坡喷浆、外立面改造等排放</w:t>
      </w:r>
      <w:r>
        <w:rPr>
          <w:rFonts w:hint="eastAsia" w:ascii="Times New Roman" w:hAnsi="Times New Roman" w:eastAsia="仿宋_GB2312" w:cs="Times New Roman"/>
          <w:bCs/>
          <w:sz w:val="32"/>
          <w:szCs w:val="24"/>
        </w:rPr>
        <w:t>VOCs的施工作业。</w:t>
      </w:r>
    </w:p>
    <w:p>
      <w:pPr>
        <w:spacing w:line="560" w:lineRule="exact"/>
        <w:ind w:firstLine="640" w:firstLineChars="200"/>
        <w:rPr>
          <w:rFonts w:ascii="黑体" w:eastAsia="黑体" w:cs="黑体"/>
          <w:sz w:val="32"/>
          <w:szCs w:val="32"/>
        </w:rPr>
      </w:pPr>
      <w:r>
        <w:rPr>
          <w:rFonts w:hint="eastAsia" w:ascii="黑体" w:eastAsia="黑体" w:cs="黑体"/>
          <w:sz w:val="32"/>
          <w:szCs w:val="32"/>
        </w:rPr>
        <w:t>三、扬尘源豁免</w:t>
      </w:r>
    </w:p>
    <w:p>
      <w:pPr>
        <w:spacing w:line="560" w:lineRule="exact"/>
        <w:ind w:firstLine="640" w:firstLineChars="200"/>
        <w:rPr>
          <w:rFonts w:ascii="仿宋_GB2312" w:hAnsi="Calibri" w:eastAsia="仿宋_GB2312" w:cs="宋体"/>
          <w:sz w:val="32"/>
          <w:szCs w:val="32"/>
        </w:rPr>
      </w:pPr>
      <w:r>
        <w:rPr>
          <w:rFonts w:hint="eastAsia" w:ascii="仿宋_GB2312" w:eastAsia="仿宋_GB2312" w:cs="宋体"/>
          <w:sz w:val="32"/>
          <w:szCs w:val="32"/>
        </w:rPr>
        <w:t>对于保障民生、保障城市正常运转等重大工程项目，需纳入保障类</w:t>
      </w:r>
      <w:r>
        <w:rPr>
          <w:rFonts w:hint="eastAsia" w:ascii="仿宋_GB2312" w:hAnsi="Times New Roman" w:eastAsia="仿宋_GB2312" w:cs="仿宋_GB2312"/>
          <w:sz w:val="32"/>
          <w:szCs w:val="32"/>
        </w:rPr>
        <w:t>减排清单的</w:t>
      </w:r>
      <w:r>
        <w:rPr>
          <w:rFonts w:hint="eastAsia" w:ascii="仿宋_GB2312" w:eastAsia="仿宋_GB2312" w:cs="宋体"/>
          <w:sz w:val="32"/>
          <w:szCs w:val="32"/>
        </w:rPr>
        <w:t>重点保障性建设工程,由</w:t>
      </w:r>
      <w:r>
        <w:rPr>
          <w:rFonts w:hint="eastAsia" w:ascii="仿宋_GB2312" w:hAnsi="Calibri" w:eastAsia="仿宋_GB2312" w:cs="宋体"/>
          <w:sz w:val="32"/>
          <w:szCs w:val="32"/>
        </w:rPr>
        <w:t>属地</w:t>
      </w:r>
      <w:r>
        <w:rPr>
          <w:rFonts w:hint="eastAsia" w:ascii="仿宋_GB2312" w:hAnsi="Times New Roman" w:eastAsia="仿宋_GB2312" w:cs="仿宋_GB2312"/>
          <w:sz w:val="32"/>
          <w:szCs w:val="32"/>
        </w:rPr>
        <w:t>住房和城乡建设主管部门负责按程序申报，经</w:t>
      </w:r>
      <w:r>
        <w:rPr>
          <w:rFonts w:hint="eastAsia" w:ascii="仿宋_GB2312" w:eastAsia="仿宋_GB2312" w:cs="宋体"/>
          <w:sz w:val="32"/>
          <w:szCs w:val="32"/>
        </w:rPr>
        <w:t>省级相关主管部门确认后</w:t>
      </w:r>
      <w:r>
        <w:rPr>
          <w:rFonts w:hint="eastAsia" w:ascii="仿宋_GB2312" w:hAnsi="Calibri" w:eastAsia="仿宋_GB2312" w:cs="宋体"/>
          <w:sz w:val="32"/>
          <w:szCs w:val="32"/>
        </w:rPr>
        <w:t>，</w:t>
      </w:r>
      <w:r>
        <w:rPr>
          <w:rFonts w:hint="eastAsia" w:ascii="仿宋_GB2312" w:eastAsia="仿宋_GB2312" w:cs="宋体"/>
          <w:sz w:val="32"/>
          <w:szCs w:val="32"/>
        </w:rPr>
        <w:t>在污染防治措施满足管控要求的情况下</w:t>
      </w:r>
      <w:bookmarkStart w:id="2" w:name="_Hlk54797045"/>
      <w:r>
        <w:rPr>
          <w:rFonts w:hint="eastAsia" w:ascii="仿宋_GB2312" w:eastAsia="仿宋_GB2312" w:cs="宋体"/>
          <w:sz w:val="32"/>
          <w:szCs w:val="32"/>
        </w:rPr>
        <w:t>纳入清单</w:t>
      </w:r>
      <w:bookmarkEnd w:id="2"/>
      <w:r>
        <w:rPr>
          <w:rFonts w:hint="eastAsia" w:ascii="仿宋_GB2312" w:hAnsi="Calibri" w:eastAsia="仿宋_GB2312" w:cs="宋体"/>
          <w:sz w:val="32"/>
          <w:szCs w:val="32"/>
        </w:rPr>
        <w:t>管理</w:t>
      </w:r>
      <w:r>
        <w:rPr>
          <w:rFonts w:hint="eastAsia" w:ascii="仿宋_GB2312" w:eastAsia="仿宋_GB2312" w:cs="宋体"/>
          <w:sz w:val="32"/>
          <w:szCs w:val="32"/>
        </w:rPr>
        <w:t>,</w:t>
      </w:r>
      <w:r>
        <w:rPr>
          <w:rFonts w:hint="eastAsia" w:ascii="仿宋_GB2312" w:hAnsi="Calibri" w:eastAsia="仿宋_GB2312" w:cs="宋体"/>
          <w:sz w:val="32"/>
          <w:szCs w:val="32"/>
        </w:rPr>
        <w:t>并</w:t>
      </w:r>
      <w:r>
        <w:rPr>
          <w:rFonts w:hint="eastAsia" w:ascii="仿宋_GB2312" w:eastAsia="仿宋_GB2312" w:cs="宋体"/>
          <w:sz w:val="32"/>
          <w:szCs w:val="32"/>
        </w:rPr>
        <w:t>根据相关要求和实际情况采取减排措施</w:t>
      </w:r>
      <w:r>
        <w:rPr>
          <w:rFonts w:hint="eastAsia" w:ascii="仿宋_GB2312" w:hAnsi="Calibri" w:eastAsia="仿宋_GB2312" w:cs="宋体"/>
          <w:sz w:val="32"/>
          <w:szCs w:val="32"/>
        </w:rPr>
        <w:t>，不得采取全面停工、停产措施</w:t>
      </w:r>
      <w:r>
        <w:rPr>
          <w:rFonts w:hint="eastAsia" w:ascii="仿宋_GB2312" w:eastAsia="仿宋_GB2312" w:cs="宋体"/>
          <w:sz w:val="32"/>
          <w:szCs w:val="32"/>
        </w:rPr>
        <w:t>。</w:t>
      </w:r>
      <w:r>
        <w:rPr>
          <w:rFonts w:hint="eastAsia" w:ascii="仿宋_GB2312" w:hAnsi="Calibri" w:eastAsia="仿宋_GB2312" w:cs="宋体"/>
          <w:sz w:val="32"/>
          <w:szCs w:val="32"/>
        </w:rPr>
        <w:t>如保障类工程未达到相关要求的，一经发现，立即移出保障类清单。</w:t>
      </w:r>
    </w:p>
    <w:p>
      <w:pPr>
        <w:spacing w:line="560" w:lineRule="exact"/>
        <w:ind w:firstLine="640" w:firstLineChars="200"/>
        <w:rPr>
          <w:rFonts w:ascii="黑体" w:eastAsia="黑体" w:cs="黑体"/>
          <w:sz w:val="32"/>
          <w:szCs w:val="32"/>
        </w:rPr>
      </w:pPr>
    </w:p>
    <w:p>
      <w:pPr>
        <w:spacing w:line="560" w:lineRule="exact"/>
        <w:rPr>
          <w:rFonts w:ascii="黑体" w:hAnsi="黑体" w:eastAsia="黑体"/>
          <w:sz w:val="44"/>
        </w:rPr>
        <w:sectPr>
          <w:pgSz w:w="11906" w:h="16838"/>
          <w:pgMar w:top="2098" w:right="1474" w:bottom="1985" w:left="1588" w:header="851" w:footer="992" w:gutter="0"/>
          <w:cols w:space="425" w:num="1"/>
          <w:docGrid w:type="lines" w:linePitch="312" w:charSpace="0"/>
        </w:sectPr>
      </w:pPr>
      <w:r>
        <w:rPr>
          <w:rFonts w:ascii="黑体" w:hAnsi="黑体" w:eastAsia="黑体"/>
          <w:b/>
          <w:sz w:val="44"/>
        </w:rPr>
        <w:tab/>
      </w:r>
      <w:r>
        <w:rPr>
          <w:rFonts w:ascii="黑体" w:hAnsi="黑体" w:eastAsia="黑体"/>
          <w:b/>
          <w:sz w:val="44"/>
        </w:rPr>
        <w:tab/>
      </w:r>
    </w:p>
    <w:p>
      <w:pPr>
        <w:rPr>
          <w:rFonts w:hint="eastAsia" w:ascii="楷体_GB2312" w:eastAsia="楷体_GB2312"/>
          <w:sz w:val="24"/>
          <w:szCs w:val="28"/>
        </w:rPr>
      </w:pPr>
    </w:p>
    <w:sectPr>
      <w:pgSz w:w="11906" w:h="16838"/>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91F24"/>
    <w:multiLevelType w:val="singleLevel"/>
    <w:tmpl w:val="34391F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027"/>
    <w:rsid w:val="00192BFD"/>
    <w:rsid w:val="001B237A"/>
    <w:rsid w:val="001E5E6A"/>
    <w:rsid w:val="001E6747"/>
    <w:rsid w:val="001F7FC6"/>
    <w:rsid w:val="00226027"/>
    <w:rsid w:val="002719CA"/>
    <w:rsid w:val="002C3534"/>
    <w:rsid w:val="003368EA"/>
    <w:rsid w:val="00362141"/>
    <w:rsid w:val="00381897"/>
    <w:rsid w:val="00406EFD"/>
    <w:rsid w:val="00445B5F"/>
    <w:rsid w:val="00472505"/>
    <w:rsid w:val="004911AA"/>
    <w:rsid w:val="00512BE6"/>
    <w:rsid w:val="00563B6F"/>
    <w:rsid w:val="00617112"/>
    <w:rsid w:val="006A6D82"/>
    <w:rsid w:val="00742776"/>
    <w:rsid w:val="00791C75"/>
    <w:rsid w:val="00792363"/>
    <w:rsid w:val="007C4D1F"/>
    <w:rsid w:val="007F5B54"/>
    <w:rsid w:val="008615D6"/>
    <w:rsid w:val="0089567B"/>
    <w:rsid w:val="008A63DC"/>
    <w:rsid w:val="008B0444"/>
    <w:rsid w:val="008C2E33"/>
    <w:rsid w:val="008D2C3E"/>
    <w:rsid w:val="00910509"/>
    <w:rsid w:val="00AC0274"/>
    <w:rsid w:val="00B560EA"/>
    <w:rsid w:val="00DE2D1D"/>
    <w:rsid w:val="00DF4355"/>
    <w:rsid w:val="00EE1AD9"/>
    <w:rsid w:val="00F17EF0"/>
    <w:rsid w:val="00F91F83"/>
    <w:rsid w:val="00F925E3"/>
    <w:rsid w:val="3EF735C6"/>
    <w:rsid w:val="719DBB92"/>
    <w:rsid w:val="AEDFC334"/>
    <w:rsid w:val="CFF98A7D"/>
    <w:rsid w:val="EBA8AEB9"/>
    <w:rsid w:val="F73F930D"/>
    <w:rsid w:val="F87F633D"/>
    <w:rsid w:val="F8976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宋体" w:hAnsi="宋体" w:eastAsia="宋体"/>
      <w:sz w:val="18"/>
      <w:szCs w:val="18"/>
    </w:rPr>
  </w:style>
  <w:style w:type="character" w:customStyle="1" w:styleId="8">
    <w:name w:val="页脚 字符"/>
    <w:basedOn w:val="6"/>
    <w:link w:val="2"/>
    <w:qFormat/>
    <w:uiPriority w:val="99"/>
    <w:rPr>
      <w:rFonts w:ascii="宋体" w:hAnsi="宋体"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316</Words>
  <Characters>1807</Characters>
  <Lines>15</Lines>
  <Paragraphs>4</Paragraphs>
  <TotalTime>1</TotalTime>
  <ScaleCrop>false</ScaleCrop>
  <LinksUpToDate>false</LinksUpToDate>
  <CharactersWithSpaces>2119</CharactersWithSpaces>
  <Application>WPS Office_11.8.2.11681_F1E327BC-269C-435d-A152-05C5408002CA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2024-04-24T06:43:00Z</dcterms:created>
  <dc:creator>Administrator</dc:creator>
  <cp:lastModifiedBy>huawei</cp:lastModifiedBy>
  <cp:lastPrinted>2024-04-24T14:04:00Z</cp:lastPrinted>
  <dcterms:modified xsi:type="dcterms:W3CDTF">2024-04-23T15:20:57Z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ICV">
    <vt:lpwstr>8E0230B7E82B6002C75E27669AA3B199</vt:lpwstr>
  </property>
</Properties>
</file>