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val="0"/>
        <w:autoSpaceDN w:val="0"/>
        <w:bidi w:val="0"/>
        <w:adjustRightInd/>
        <w:snapToGrid/>
        <w:spacing w:before="313" w:beforeLines="100"/>
        <w:ind w:left="0" w:firstLine="0"/>
        <w:jc w:val="center"/>
        <w:textAlignment w:val="auto"/>
        <w:rPr>
          <w:rFonts w:hint="eastAsia" w:ascii="黑体" w:hAnsi="黑体" w:eastAsia="黑体" w:cs="仿宋"/>
          <w:color w:val="000000"/>
          <w:kern w:val="2"/>
          <w:sz w:val="24"/>
          <w:szCs w:val="24"/>
          <w:lang w:eastAsia="zh-CN"/>
        </w:rPr>
      </w:pPr>
      <w:r>
        <w:rPr>
          <w:rFonts w:hint="eastAsia" w:ascii="黑体" w:hAnsi="黑体" w:eastAsia="黑体" w:cs="仿宋"/>
          <w:b/>
          <w:color w:val="000000"/>
          <w:sz w:val="32"/>
          <w:szCs w:val="32"/>
        </w:rPr>
        <w:t>质量管理巡查表（受检工程）</w:t>
      </w:r>
    </w:p>
    <w:tbl>
      <w:tblPr>
        <w:tblStyle w:val="6"/>
        <w:tblW w:w="45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486"/>
        <w:gridCol w:w="1570"/>
        <w:gridCol w:w="1209"/>
        <w:gridCol w:w="3748"/>
        <w:gridCol w:w="1212"/>
        <w:gridCol w:w="1233"/>
        <w:gridCol w:w="3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5"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责任主体</w:t>
            </w:r>
          </w:p>
        </w:tc>
        <w:tc>
          <w:tcPr>
            <w:tcW w:w="181"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序号</w:t>
            </w:r>
          </w:p>
        </w:tc>
        <w:tc>
          <w:tcPr>
            <w:tcW w:w="585"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检查项目</w:t>
            </w:r>
          </w:p>
        </w:tc>
        <w:tc>
          <w:tcPr>
            <w:tcW w:w="450"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检查内容</w:t>
            </w:r>
          </w:p>
        </w:tc>
        <w:tc>
          <w:tcPr>
            <w:tcW w:w="1396"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检查依据</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检查</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部位</w:t>
            </w: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评价</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rPr>
              <w:t>问题描述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5" w:type="pct"/>
            <w:vMerge w:val="restar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建设单位</w:t>
            </w:r>
          </w:p>
        </w:tc>
        <w:tc>
          <w:tcPr>
            <w:tcW w:w="181"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1</w:t>
            </w:r>
          </w:p>
        </w:tc>
        <w:tc>
          <w:tcPr>
            <w:tcW w:w="585"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施工前办理施工许可（工程质量监督手续）情况</w:t>
            </w:r>
          </w:p>
        </w:tc>
        <w:tc>
          <w:tcPr>
            <w:tcW w:w="45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检查施工许可证或监督注册登记表符合要求</w:t>
            </w:r>
          </w:p>
        </w:tc>
        <w:tc>
          <w:tcPr>
            <w:tcW w:w="139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lang w:val="en-US" w:eastAsia="zh-CN"/>
              </w:rPr>
              <w:t>建筑工程施工许可管理办法</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lang w:val="en-US" w:eastAsia="zh-CN"/>
              </w:rPr>
              <w:t>住建部第42号令修正</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第二条</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在中华人民共和国境内从事各类房屋建筑及其附属设施的建造、装修装饰和与其配套的线路、管道、设备的安装，以及城镇市政基础设施工程的施工，建设单位在开工前应当依照本办法的规定，向工程所在地的县级以上地方人民政府住房城乡建设主管部门申请领取施工许可证。</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山东省房屋建筑和市政工程质量监督管理办法</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山东省人民政府令第308号</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第九条</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建设单位在办理施工许可证前，应当向工程质量监督机构申请办理工程质量监督手续。</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eastAsia="zh-CN"/>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eastAsia="zh-CN"/>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2</w:t>
            </w:r>
          </w:p>
        </w:tc>
        <w:tc>
          <w:tcPr>
            <w:tcW w:w="585"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0C0C0C"/>
                <w:sz w:val="24"/>
                <w:szCs w:val="24"/>
              </w:rPr>
              <w:t>★</w:t>
            </w:r>
            <w:r>
              <w:rPr>
                <w:rFonts w:hint="eastAsia" w:ascii="黑体" w:hAnsi="黑体" w:eastAsia="黑体" w:cs="黑体"/>
                <w:b w:val="0"/>
                <w:bCs w:val="0"/>
                <w:color w:val="auto"/>
                <w:sz w:val="24"/>
                <w:szCs w:val="24"/>
              </w:rPr>
              <w:t>组织图纸会审、设计交底情况</w:t>
            </w:r>
          </w:p>
        </w:tc>
        <w:tc>
          <w:tcPr>
            <w:tcW w:w="45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lang w:eastAsia="zh-CN"/>
              </w:rPr>
              <w:t>检查是否按规定组织</w:t>
            </w:r>
          </w:p>
        </w:tc>
        <w:tc>
          <w:tcPr>
            <w:tcW w:w="139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sz w:val="24"/>
                <w:szCs w:val="24"/>
              </w:rPr>
              <w:t>《建筑与市政工程施工质量控制</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》GB55032-2022第3.1.1：工程项目中使用的施工图纸及其他有关设计文件应合格有效。施工前应进行勘察说明、设计交底、图纸会审，并应保留记录。</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3</w:t>
            </w:r>
          </w:p>
        </w:tc>
        <w:tc>
          <w:tcPr>
            <w:tcW w:w="585"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0C0C0C"/>
                <w:sz w:val="24"/>
                <w:szCs w:val="24"/>
              </w:rPr>
              <w:t>★</w:t>
            </w:r>
            <w:r>
              <w:rPr>
                <w:rFonts w:hint="eastAsia" w:ascii="黑体" w:hAnsi="黑体" w:eastAsia="黑体" w:cs="黑体"/>
                <w:b w:val="0"/>
                <w:bCs w:val="0"/>
                <w:color w:val="auto"/>
                <w:sz w:val="24"/>
                <w:szCs w:val="24"/>
              </w:rPr>
              <w:t>原设计有重大修改、变动的，施工图重新报审情况</w:t>
            </w:r>
          </w:p>
        </w:tc>
        <w:tc>
          <w:tcPr>
            <w:tcW w:w="45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lang w:eastAsia="zh-CN"/>
              </w:rPr>
              <w:t>检查是否按要求重新报审，</w:t>
            </w:r>
            <w:r>
              <w:rPr>
                <w:rFonts w:hint="eastAsia" w:ascii="黑体" w:hAnsi="黑体" w:eastAsia="黑体" w:cs="黑体"/>
                <w:b w:val="0"/>
                <w:bCs w:val="0"/>
                <w:color w:val="auto"/>
                <w:sz w:val="24"/>
                <w:szCs w:val="24"/>
                <w:lang w:val="en-US" w:eastAsia="zh-CN"/>
              </w:rPr>
              <w:t>根据现场情况反复核对是否存在重大设计变更</w:t>
            </w:r>
          </w:p>
        </w:tc>
        <w:tc>
          <w:tcPr>
            <w:tcW w:w="139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sz w:val="24"/>
                <w:szCs w:val="24"/>
              </w:rPr>
              <w:t>《山东省建筑工程质量</w:t>
            </w:r>
            <w:r>
              <w:rPr>
                <w:rFonts w:hint="eastAsia" w:ascii="黑体" w:hAnsi="黑体" w:eastAsia="黑体" w:cs="黑体"/>
                <w:b w:val="0"/>
                <w:bCs w:val="0"/>
                <w:sz w:val="24"/>
                <w:szCs w:val="24"/>
                <w:lang w:eastAsia="zh-CN"/>
              </w:rPr>
              <w:t>风险分级</w:t>
            </w:r>
            <w:r>
              <w:rPr>
                <w:rFonts w:hint="eastAsia" w:ascii="黑体" w:hAnsi="黑体" w:eastAsia="黑体" w:cs="黑体"/>
                <w:b w:val="0"/>
                <w:bCs w:val="0"/>
                <w:sz w:val="24"/>
                <w:szCs w:val="24"/>
              </w:rPr>
              <w:t>管控实施差异化监管技术指南1.0》附录A建设单位一级风险第5条</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有重大修改、变动的施工图设计文件未报审图机构审查合格。</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4</w:t>
            </w:r>
          </w:p>
        </w:tc>
        <w:tc>
          <w:tcPr>
            <w:tcW w:w="585" w:type="pct"/>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lang w:eastAsia="zh-CN"/>
              </w:rPr>
              <w:t>延长质量保修期</w:t>
            </w:r>
            <w:r>
              <w:rPr>
                <w:rFonts w:hint="eastAsia" w:ascii="黑体" w:hAnsi="黑体" w:eastAsia="黑体" w:cs="黑体"/>
                <w:b w:val="0"/>
                <w:bCs w:val="0"/>
                <w:color w:val="auto"/>
                <w:sz w:val="24"/>
                <w:szCs w:val="24"/>
                <w:lang w:val="en-US" w:eastAsia="zh-CN"/>
              </w:rPr>
              <w:t>制度落实情况（2022年9月1日后新取得国有土地使用权的新建商品住宅和城镇保障性安居工程施工合同</w:t>
            </w:r>
            <w:r>
              <w:rPr>
                <w:rFonts w:hint="eastAsia" w:ascii="黑体" w:hAnsi="黑体" w:eastAsia="黑体" w:cs="黑体"/>
                <w:b w:val="0"/>
                <w:bCs w:val="0"/>
                <w:color w:val="auto"/>
                <w:sz w:val="24"/>
                <w:szCs w:val="24"/>
                <w:lang w:eastAsia="zh-CN"/>
              </w:rPr>
              <w:t>全面落实延长质量保修期制度</w:t>
            </w:r>
            <w:r>
              <w:rPr>
                <w:rFonts w:hint="eastAsia" w:ascii="黑体" w:hAnsi="黑体" w:eastAsia="黑体" w:cs="黑体"/>
                <w:b w:val="0"/>
                <w:bCs w:val="0"/>
                <w:color w:val="auto"/>
                <w:sz w:val="24"/>
                <w:szCs w:val="24"/>
                <w:lang w:val="en-US" w:eastAsia="zh-CN"/>
              </w:rPr>
              <w:t>）</w:t>
            </w:r>
          </w:p>
        </w:tc>
        <w:tc>
          <w:tcPr>
            <w:tcW w:w="45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eastAsia="zh-CN"/>
              </w:rPr>
              <w:t>检查</w:t>
            </w:r>
            <w:r>
              <w:rPr>
                <w:rFonts w:hint="eastAsia" w:ascii="黑体" w:hAnsi="黑体" w:eastAsia="黑体" w:cs="黑体"/>
                <w:b w:val="0"/>
                <w:bCs w:val="0"/>
                <w:color w:val="auto"/>
                <w:sz w:val="24"/>
                <w:szCs w:val="24"/>
                <w:lang w:val="en-US" w:eastAsia="zh-CN"/>
              </w:rPr>
              <w:t>建设条件意见是否明确</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lang w:val="en-US" w:eastAsia="zh-CN"/>
              </w:rPr>
              <w:t>检查施工合同内容是否有对应条款</w:t>
            </w:r>
          </w:p>
        </w:tc>
        <w:tc>
          <w:tcPr>
            <w:tcW w:w="139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sz w:val="24"/>
                <w:szCs w:val="24"/>
                <w:lang w:val="en-US" w:eastAsia="zh-CN"/>
              </w:rPr>
              <w:t>《关于调整新建住宅工程质量保修期的指导意见》（鲁建质安字〔2022〕4号）三、</w:t>
            </w:r>
            <w:r>
              <w:rPr>
                <w:rFonts w:hint="eastAsia" w:ascii="黑体" w:hAnsi="黑体" w:eastAsia="黑体" w:cs="黑体"/>
                <w:b w:val="0"/>
                <w:bCs w:val="0"/>
                <w:sz w:val="24"/>
                <w:szCs w:val="24"/>
              </w:rPr>
              <w:t>调整</w:t>
            </w:r>
            <w:r>
              <w:rPr>
                <w:rFonts w:hint="eastAsia" w:ascii="黑体" w:hAnsi="黑体" w:eastAsia="黑体" w:cs="黑体"/>
                <w:b w:val="0"/>
                <w:bCs w:val="0"/>
                <w:sz w:val="24"/>
                <w:szCs w:val="24"/>
                <w:lang w:val="en-US" w:eastAsia="zh-CN"/>
              </w:rPr>
              <w:t>内容</w:t>
            </w:r>
            <w:r>
              <w:rPr>
                <w:rFonts w:hint="eastAsia" w:ascii="黑体" w:hAnsi="黑体" w:eastAsia="黑体" w:cs="黑体"/>
                <w:b w:val="0"/>
                <w:bCs w:val="0"/>
                <w:sz w:val="24"/>
                <w:szCs w:val="24"/>
              </w:rPr>
              <w:t>：（一）屋面防水工程，有防水要求的卫生间、房间和外墙面的防渗漏，调整为10年；（二）供热与供冷系统，调整为5个采暖期、供冷期；（三）电气管线、给排水管道、设备安装，隐蔽部分调整为10年，非隐蔽部分调整为5年。</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5</w:t>
            </w:r>
          </w:p>
        </w:tc>
        <w:tc>
          <w:tcPr>
            <w:tcW w:w="585"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先验房后收房制度落实情况</w:t>
            </w:r>
          </w:p>
        </w:tc>
        <w:tc>
          <w:tcPr>
            <w:tcW w:w="45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val="en-US" w:eastAsia="zh-CN"/>
              </w:rPr>
              <w:t>检查是否</w:t>
            </w:r>
            <w:r>
              <w:rPr>
                <w:rFonts w:hint="eastAsia" w:ascii="黑体" w:hAnsi="黑体" w:eastAsia="黑体" w:cs="黑体"/>
                <w:b w:val="0"/>
                <w:bCs w:val="0"/>
                <w:color w:val="auto"/>
                <w:sz w:val="24"/>
                <w:szCs w:val="24"/>
                <w:lang w:eastAsia="zh-CN"/>
              </w:rPr>
              <w:t>按进度进行质量信息公示</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检查是否组织分户验收</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检查监理单位预验收、建设单位竣工验收</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lang w:val="en-US" w:eastAsia="zh-CN"/>
              </w:rPr>
              <w:t>检查</w:t>
            </w:r>
            <w:r>
              <w:rPr>
                <w:rFonts w:hint="eastAsia" w:ascii="黑体" w:hAnsi="黑体" w:eastAsia="黑体" w:cs="黑体"/>
                <w:b w:val="0"/>
                <w:bCs w:val="0"/>
                <w:color w:val="auto"/>
                <w:sz w:val="24"/>
                <w:szCs w:val="24"/>
                <w:lang w:eastAsia="zh-CN"/>
              </w:rPr>
              <w:t>组织业主入户查验</w:t>
            </w:r>
            <w:r>
              <w:rPr>
                <w:rFonts w:hint="eastAsia" w:ascii="黑体" w:hAnsi="黑体" w:eastAsia="黑体" w:cs="黑体"/>
                <w:b w:val="0"/>
                <w:bCs w:val="0"/>
                <w:color w:val="auto"/>
                <w:sz w:val="24"/>
                <w:szCs w:val="24"/>
                <w:lang w:val="en-US" w:eastAsia="zh-CN"/>
              </w:rPr>
              <w:t>活动</w:t>
            </w:r>
          </w:p>
        </w:tc>
        <w:tc>
          <w:tcPr>
            <w:tcW w:w="1396"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kern w:val="2"/>
                <w:sz w:val="24"/>
                <w:szCs w:val="24"/>
                <w:lang w:val="en-US" w:eastAsia="zh-CN" w:bidi="ar-SA"/>
              </w:rPr>
              <w:t>《关于在住宅工程中推行质量信息公示制度的指导意见》鲁建质安字〔2021〕11号</w:t>
            </w:r>
          </w:p>
        </w:tc>
        <w:tc>
          <w:tcPr>
            <w:tcW w:w="45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0"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5" w:type="pct"/>
            <w:vMerge w:val="restar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施工单位</w:t>
            </w:r>
          </w:p>
        </w:tc>
        <w:tc>
          <w:tcPr>
            <w:tcW w:w="181"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6</w:t>
            </w:r>
            <w:r>
              <w:rPr>
                <w:rFonts w:hint="eastAsia" w:ascii="黑体" w:hAnsi="黑体" w:eastAsia="黑体" w:cs="黑体"/>
                <w:b w:val="0"/>
                <w:bCs w:val="0"/>
                <w:color w:val="0C0C0C"/>
                <w:sz w:val="24"/>
                <w:szCs w:val="24"/>
              </w:rPr>
              <w:t>★</w:t>
            </w:r>
          </w:p>
        </w:tc>
        <w:tc>
          <w:tcPr>
            <w:tcW w:w="585"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lang w:eastAsia="zh-CN"/>
              </w:rPr>
              <w:t>项目经理资格和履责情况</w:t>
            </w:r>
          </w:p>
        </w:tc>
        <w:tc>
          <w:tcPr>
            <w:tcW w:w="45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lang w:eastAsia="zh-CN"/>
              </w:rPr>
              <w:t>检查项目经理资格符合相应要求，且到岗履责</w:t>
            </w:r>
          </w:p>
        </w:tc>
        <w:tc>
          <w:tcPr>
            <w:tcW w:w="139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eastAsia="zh-CN"/>
              </w:rPr>
            </w:pPr>
            <w:r>
              <w:rPr>
                <w:rFonts w:hint="eastAsia" w:ascii="黑体" w:hAnsi="黑体" w:eastAsia="黑体" w:cs="黑体"/>
                <w:b w:val="0"/>
                <w:bCs w:val="0"/>
                <w:sz w:val="24"/>
                <w:szCs w:val="24"/>
              </w:rPr>
              <w:t>《山东省建筑工程质量</w:t>
            </w:r>
            <w:r>
              <w:rPr>
                <w:rFonts w:hint="eastAsia" w:ascii="黑体" w:hAnsi="黑体" w:eastAsia="黑体" w:cs="黑体"/>
                <w:b w:val="0"/>
                <w:bCs w:val="0"/>
                <w:sz w:val="24"/>
                <w:szCs w:val="24"/>
                <w:lang w:eastAsia="zh-CN"/>
              </w:rPr>
              <w:t>风险分级</w:t>
            </w:r>
            <w:r>
              <w:rPr>
                <w:rFonts w:hint="eastAsia" w:ascii="黑体" w:hAnsi="黑体" w:eastAsia="黑体" w:cs="黑体"/>
                <w:b w:val="0"/>
                <w:bCs w:val="0"/>
                <w:sz w:val="24"/>
                <w:szCs w:val="24"/>
              </w:rPr>
              <w:t>管控实施差异化监管技术指南1.0》附录A施工单位一级风险第4条</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项目经理资格不符合要求或未到岗履职。</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7</w:t>
            </w:r>
          </w:p>
        </w:tc>
        <w:tc>
          <w:tcPr>
            <w:tcW w:w="585"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项目质量管理人员配备及到位情况</w:t>
            </w:r>
          </w:p>
        </w:tc>
        <w:tc>
          <w:tcPr>
            <w:tcW w:w="45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val="en-US" w:eastAsia="zh-CN"/>
              </w:rPr>
              <w:t>检查</w:t>
            </w:r>
            <w:r>
              <w:rPr>
                <w:rFonts w:hint="eastAsia" w:ascii="黑体" w:hAnsi="黑体" w:eastAsia="黑体" w:cs="黑体"/>
                <w:b w:val="0"/>
                <w:bCs w:val="0"/>
                <w:color w:val="auto"/>
                <w:sz w:val="24"/>
                <w:szCs w:val="24"/>
                <w:lang w:eastAsia="zh-CN"/>
              </w:rPr>
              <w:t>质量管理人员（</w:t>
            </w:r>
            <w:r>
              <w:rPr>
                <w:rFonts w:hint="eastAsia" w:ascii="黑体" w:hAnsi="黑体" w:eastAsia="黑体" w:cs="黑体"/>
                <w:b w:val="0"/>
                <w:bCs w:val="0"/>
                <w:color w:val="auto"/>
                <w:sz w:val="24"/>
                <w:szCs w:val="24"/>
                <w:lang w:val="en-US" w:eastAsia="zh-CN"/>
              </w:rPr>
              <w:t>技术负责人、质检员</w:t>
            </w:r>
            <w:r>
              <w:rPr>
                <w:rFonts w:hint="eastAsia" w:ascii="黑体" w:hAnsi="黑体" w:eastAsia="黑体" w:cs="黑体"/>
                <w:b w:val="0"/>
                <w:bCs w:val="0"/>
                <w:color w:val="auto"/>
                <w:sz w:val="24"/>
                <w:szCs w:val="24"/>
                <w:lang w:eastAsia="zh-CN"/>
              </w:rPr>
              <w:t>）配备齐全</w:t>
            </w:r>
          </w:p>
        </w:tc>
        <w:tc>
          <w:tcPr>
            <w:tcW w:w="1396"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auto"/>
                <w:sz w:val="24"/>
                <w:szCs w:val="24"/>
              </w:rPr>
            </w:pPr>
            <w:r>
              <w:rPr>
                <w:rFonts w:hint="eastAsia" w:ascii="黑体" w:hAnsi="黑体" w:eastAsia="黑体" w:cs="黑体"/>
                <w:b w:val="0"/>
                <w:bCs w:val="0"/>
                <w:kern w:val="2"/>
                <w:sz w:val="24"/>
                <w:szCs w:val="24"/>
                <w:lang w:val="en-US" w:eastAsia="zh-CN" w:bidi="ar-SA"/>
              </w:rPr>
              <w:t>《山东省房屋建筑和市政工程质量监督管理办法》（山东省人民政府令第308号）第十九条：施工企业应当根据工程规模、技术要求和合同约定，配备项目负责人、项目技术负责人和相应的专职质量管理人员，并保证其到岗履职；项目负责人不得擅自变更，确需变更的，需经建设单位同意并报住房城乡建设主管部门备案。</w:t>
            </w:r>
            <w:r>
              <w:rPr>
                <w:rFonts w:hint="eastAsia" w:ascii="黑体" w:hAnsi="黑体" w:eastAsia="黑体" w:cs="黑体"/>
                <w:b w:val="0"/>
                <w:bCs w:val="0"/>
                <w:sz w:val="24"/>
                <w:szCs w:val="24"/>
              </w:rPr>
              <w:t>。</w:t>
            </w:r>
          </w:p>
        </w:tc>
        <w:tc>
          <w:tcPr>
            <w:tcW w:w="45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0"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val="en-US" w:eastAsia="zh-CN"/>
              </w:rPr>
              <w:t>8</w:t>
            </w:r>
          </w:p>
        </w:tc>
        <w:tc>
          <w:tcPr>
            <w:tcW w:w="585"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住宅工程渗漏问题防治落实情况</w:t>
            </w:r>
          </w:p>
        </w:tc>
        <w:tc>
          <w:tcPr>
            <w:tcW w:w="45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检查是否实行提级审批</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检查是否落实三项交底</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检查是否实施样板引路</w:t>
            </w:r>
          </w:p>
        </w:tc>
        <w:tc>
          <w:tcPr>
            <w:tcW w:w="139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《山东省住房和城乡建设厅关于进一步加强住宅工程渗漏防控工作的若干措施》</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highlight w:val="none"/>
                <w:lang w:val="en-US" w:eastAsia="zh-CN"/>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restar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9</w:t>
            </w:r>
            <w:r>
              <w:rPr>
                <w:rFonts w:hint="eastAsia" w:ascii="黑体" w:hAnsi="黑体" w:eastAsia="黑体" w:cs="黑体"/>
                <w:b w:val="0"/>
                <w:bCs w:val="0"/>
                <w:color w:val="0C0C0C"/>
                <w:sz w:val="24"/>
                <w:szCs w:val="24"/>
              </w:rPr>
              <w:t>★</w:t>
            </w:r>
          </w:p>
        </w:tc>
        <w:tc>
          <w:tcPr>
            <w:tcW w:w="585"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进场的建筑材料、建筑构配件和设备情况</w:t>
            </w:r>
          </w:p>
        </w:tc>
        <w:tc>
          <w:tcPr>
            <w:tcW w:w="450"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检查是否有进场材料报审</w:t>
            </w:r>
          </w:p>
        </w:tc>
        <w:tc>
          <w:tcPr>
            <w:tcW w:w="1396"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sz w:val="24"/>
                <w:szCs w:val="24"/>
              </w:rPr>
              <w:t>《建筑与市政工程施工质量控制</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w:t>
            </w:r>
            <w:r>
              <w:rPr>
                <w:rFonts w:hint="eastAsia" w:ascii="黑体" w:hAnsi="黑体" w:eastAsia="黑体" w:cs="黑体"/>
                <w:b w:val="0"/>
                <w:bCs w:val="0"/>
                <w:sz w:val="24"/>
                <w:szCs w:val="24"/>
                <w:lang w:eastAsia="zh-CN"/>
              </w:rPr>
              <w:t>GB</w:t>
            </w:r>
            <w:r>
              <w:rPr>
                <w:rFonts w:hint="eastAsia" w:ascii="黑体" w:hAnsi="黑体" w:eastAsia="黑体" w:cs="黑体"/>
                <w:b w:val="0"/>
                <w:bCs w:val="0"/>
                <w:sz w:val="24"/>
                <w:szCs w:val="24"/>
              </w:rPr>
              <w:t>55032-2022第3.2.1：工程采用的主要材料、半成品、成品、构配件、器具和设备应进行进场检验。涉及安全、节能、环境保护和主要使用功能的重要材料、产品应按各专业相关规定进行复验，并应经监理工程师检查认可。</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restar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10</w:t>
            </w:r>
            <w:r>
              <w:rPr>
                <w:rFonts w:hint="eastAsia" w:ascii="黑体" w:hAnsi="黑体" w:eastAsia="黑体" w:cs="黑体"/>
                <w:b w:val="0"/>
                <w:bCs w:val="0"/>
                <w:color w:val="0C0C0C"/>
                <w:sz w:val="24"/>
                <w:szCs w:val="24"/>
              </w:rPr>
              <w:t>★</w:t>
            </w:r>
          </w:p>
        </w:tc>
        <w:tc>
          <w:tcPr>
            <w:tcW w:w="585"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施工组织设计及专项施工方案编制、审批、</w:t>
            </w:r>
            <w:r>
              <w:rPr>
                <w:rFonts w:hint="eastAsia" w:ascii="黑体" w:hAnsi="黑体" w:eastAsia="黑体" w:cs="黑体"/>
                <w:b w:val="0"/>
                <w:bCs w:val="0"/>
                <w:color w:val="auto"/>
                <w:sz w:val="24"/>
                <w:szCs w:val="24"/>
                <w:lang w:val="en-US" w:eastAsia="zh-CN"/>
              </w:rPr>
              <w:t>动态审查情况</w:t>
            </w:r>
          </w:p>
        </w:tc>
        <w:tc>
          <w:tcPr>
            <w:tcW w:w="450"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lang w:eastAsia="zh-CN"/>
              </w:rPr>
              <w:t>检查施工组织设计或施工方案是否编制齐全、是否按规定程序进行审批</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val="en-US" w:eastAsia="zh-CN"/>
              </w:rPr>
              <w:t>检查现场实际情况与审批通过方案内容是否相符</w:t>
            </w:r>
          </w:p>
        </w:tc>
        <w:tc>
          <w:tcPr>
            <w:tcW w:w="1396"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sz w:val="24"/>
                <w:szCs w:val="24"/>
              </w:rPr>
              <w:t>《建筑与市政工程施工质量控制</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w:t>
            </w:r>
            <w:r>
              <w:rPr>
                <w:rFonts w:hint="eastAsia" w:ascii="黑体" w:hAnsi="黑体" w:eastAsia="黑体" w:cs="黑体"/>
                <w:b w:val="0"/>
                <w:bCs w:val="0"/>
                <w:sz w:val="24"/>
                <w:szCs w:val="24"/>
                <w:lang w:eastAsia="zh-CN"/>
              </w:rPr>
              <w:t>GB</w:t>
            </w:r>
            <w:r>
              <w:rPr>
                <w:rFonts w:hint="eastAsia" w:ascii="黑体" w:hAnsi="黑体" w:eastAsia="黑体" w:cs="黑体"/>
                <w:b w:val="0"/>
                <w:bCs w:val="0"/>
                <w:sz w:val="24"/>
                <w:szCs w:val="24"/>
              </w:rPr>
              <w:t>55032-2022第3.1.4：施工组织设计和施工方案应根据工程特点、现场条件、质量风险和技术要求编制，并应按规定程序审批后执行，当需变更时应按原审批程序办理变更手续。</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restar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11</w:t>
            </w:r>
            <w:r>
              <w:rPr>
                <w:rFonts w:hint="eastAsia" w:ascii="黑体" w:hAnsi="黑体" w:eastAsia="黑体" w:cs="黑体"/>
                <w:b w:val="0"/>
                <w:bCs w:val="0"/>
                <w:color w:val="0C0C0C"/>
                <w:sz w:val="24"/>
                <w:szCs w:val="24"/>
              </w:rPr>
              <w:t>★</w:t>
            </w:r>
          </w:p>
        </w:tc>
        <w:tc>
          <w:tcPr>
            <w:tcW w:w="585"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val="en-US" w:eastAsia="zh-CN"/>
              </w:rPr>
              <w:t>各类监督检查发现问题隐患整改情况</w:t>
            </w:r>
          </w:p>
        </w:tc>
        <w:tc>
          <w:tcPr>
            <w:tcW w:w="450"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检查主管部门监督检查发现的问题隐患完成整改闭环情况</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val="en-US" w:eastAsia="zh-CN"/>
              </w:rPr>
              <w:t>检查企业自查、项目监理检查发现的问题隐患完成整改闭环情况</w:t>
            </w:r>
          </w:p>
        </w:tc>
        <w:tc>
          <w:tcPr>
            <w:tcW w:w="1396"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0C0C0C"/>
                <w:sz w:val="24"/>
                <w:szCs w:val="24"/>
              </w:rPr>
              <w:t>《山东省建筑工程质量</w:t>
            </w:r>
            <w:r>
              <w:rPr>
                <w:rFonts w:hint="eastAsia" w:ascii="黑体" w:hAnsi="黑体" w:eastAsia="黑体" w:cs="黑体"/>
                <w:b w:val="0"/>
                <w:bCs w:val="0"/>
                <w:color w:val="0C0C0C"/>
                <w:sz w:val="24"/>
                <w:szCs w:val="24"/>
                <w:lang w:eastAsia="zh-CN"/>
              </w:rPr>
              <w:t>风险分级</w:t>
            </w:r>
            <w:r>
              <w:rPr>
                <w:rFonts w:hint="eastAsia" w:ascii="黑体" w:hAnsi="黑体" w:eastAsia="黑体" w:cs="黑体"/>
                <w:b w:val="0"/>
                <w:bCs w:val="0"/>
                <w:color w:val="0C0C0C"/>
                <w:sz w:val="24"/>
                <w:szCs w:val="24"/>
              </w:rPr>
              <w:t>管控实施差异化监管技术指南1.0》附录A施工单位一级风险第8</w:t>
            </w:r>
            <w:r>
              <w:rPr>
                <w:rFonts w:hint="eastAsia" w:ascii="黑体" w:hAnsi="黑体" w:eastAsia="黑体" w:cs="黑体"/>
                <w:b w:val="0"/>
                <w:bCs w:val="0"/>
                <w:color w:val="0C0C0C"/>
                <w:sz w:val="24"/>
                <w:szCs w:val="24"/>
                <w:lang w:eastAsia="zh-CN"/>
              </w:rPr>
              <w:t>：</w:t>
            </w:r>
            <w:r>
              <w:rPr>
                <w:rFonts w:hint="eastAsia" w:ascii="黑体" w:hAnsi="黑体" w:eastAsia="黑体" w:cs="黑体"/>
                <w:b w:val="0"/>
                <w:bCs w:val="0"/>
                <w:sz w:val="24"/>
                <w:szCs w:val="24"/>
              </w:rPr>
              <w:t>未按规定及时处理质量问题和质量事故，并做好记录。</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0C0C0C"/>
                <w:sz w:val="24"/>
                <w:szCs w:val="24"/>
                <w:lang w:val="en-US" w:eastAsia="zh-CN"/>
              </w:rPr>
              <w:t>主管部门</w:t>
            </w: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auto"/>
                <w:sz w:val="24"/>
                <w:szCs w:val="24"/>
                <w:lang w:val="en-US" w:eastAsia="zh-CN"/>
              </w:rPr>
              <w:t>企业自查</w:t>
            </w: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auto"/>
                <w:sz w:val="24"/>
                <w:szCs w:val="24"/>
                <w:lang w:val="en-US" w:eastAsia="zh-CN"/>
              </w:rPr>
              <w:t>项目监理检查</w:t>
            </w: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restar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12</w:t>
            </w:r>
            <w:r>
              <w:rPr>
                <w:rFonts w:hint="eastAsia" w:ascii="黑体" w:hAnsi="黑体" w:eastAsia="黑体" w:cs="黑体"/>
                <w:b w:val="0"/>
                <w:bCs w:val="0"/>
                <w:color w:val="0C0C0C"/>
                <w:sz w:val="24"/>
                <w:szCs w:val="24"/>
              </w:rPr>
              <w:t>★</w:t>
            </w:r>
          </w:p>
        </w:tc>
        <w:tc>
          <w:tcPr>
            <w:tcW w:w="585"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highlight w:val="none"/>
                <w:lang w:val="en-US" w:eastAsia="zh-CN" w:bidi="ar-SA"/>
              </w:rPr>
            </w:pPr>
            <w:r>
              <w:rPr>
                <w:rFonts w:hint="eastAsia" w:ascii="黑体" w:hAnsi="黑体" w:eastAsia="黑体" w:cs="黑体"/>
                <w:b w:val="0"/>
                <w:bCs w:val="0"/>
                <w:color w:val="auto"/>
                <w:sz w:val="24"/>
                <w:szCs w:val="24"/>
                <w:highlight w:val="none"/>
                <w:lang w:val="en-US" w:eastAsia="zh-CN"/>
              </w:rPr>
              <w:t>隐蔽验收情况</w:t>
            </w:r>
          </w:p>
        </w:tc>
        <w:tc>
          <w:tcPr>
            <w:tcW w:w="450"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highlight w:val="none"/>
                <w:lang w:val="en-US" w:eastAsia="zh-CN"/>
              </w:rPr>
            </w:pPr>
            <w:r>
              <w:rPr>
                <w:rFonts w:hint="eastAsia" w:ascii="黑体" w:hAnsi="黑体" w:eastAsia="黑体" w:cs="黑体"/>
                <w:b w:val="0"/>
                <w:bCs w:val="0"/>
                <w:color w:val="auto"/>
                <w:sz w:val="24"/>
                <w:szCs w:val="24"/>
                <w:highlight w:val="none"/>
                <w:lang w:val="en-US" w:eastAsia="zh-CN"/>
              </w:rPr>
              <w:t>检查隐蔽验收程序是否符合要求</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highlight w:val="none"/>
                <w:lang w:val="en-US" w:eastAsia="zh-CN" w:bidi="ar-SA"/>
              </w:rPr>
            </w:pPr>
            <w:r>
              <w:rPr>
                <w:rFonts w:hint="eastAsia" w:ascii="黑体" w:hAnsi="黑体" w:eastAsia="黑体" w:cs="黑体"/>
                <w:b w:val="0"/>
                <w:bCs w:val="0"/>
                <w:color w:val="auto"/>
                <w:sz w:val="24"/>
                <w:szCs w:val="24"/>
                <w:highlight w:val="none"/>
                <w:lang w:val="en-US" w:eastAsia="zh-CN"/>
              </w:rPr>
              <w:t>检查已经通过隐蔽验收的工序是否存在隐患问题</w:t>
            </w:r>
          </w:p>
        </w:tc>
        <w:tc>
          <w:tcPr>
            <w:tcW w:w="1396" w:type="pct"/>
            <w:vMerge w:val="restar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auto"/>
                <w:sz w:val="24"/>
                <w:szCs w:val="24"/>
              </w:rPr>
            </w:pPr>
            <w:r>
              <w:rPr>
                <w:rFonts w:hint="eastAsia" w:ascii="黑体" w:hAnsi="黑体" w:eastAsia="黑体" w:cs="黑体"/>
                <w:b w:val="0"/>
                <w:bCs w:val="0"/>
                <w:color w:val="0C0C0C"/>
                <w:kern w:val="2"/>
                <w:sz w:val="24"/>
                <w:szCs w:val="24"/>
                <w:lang w:val="en-US" w:eastAsia="zh-CN" w:bidi="ar-SA"/>
              </w:rPr>
              <w:t>《建筑与市政工程施工质量控制通用规范》（GB55032-2022）第3.3.4条第4款：隐蔽工程在隐蔽前应由施工单位通知监理单位进行验收，并应留存现场影像资料，形成验收文件，经验收合格后方可继续施工。</w:t>
            </w:r>
          </w:p>
        </w:tc>
        <w:tc>
          <w:tcPr>
            <w:tcW w:w="45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C0C0C"/>
                <w:kern w:val="2"/>
                <w:sz w:val="24"/>
                <w:szCs w:val="24"/>
                <w:lang w:val="en-US" w:eastAsia="zh-CN" w:bidi="ar-SA"/>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0"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181"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5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450"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1396"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45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C0C0C"/>
                <w:kern w:val="2"/>
                <w:sz w:val="24"/>
                <w:szCs w:val="24"/>
                <w:lang w:val="en-US" w:eastAsia="zh-CN" w:bidi="ar-SA"/>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0"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C0C0C"/>
                <w:kern w:val="2"/>
                <w:sz w:val="24"/>
                <w:szCs w:val="24"/>
                <w:lang w:val="en-US" w:eastAsia="zh-CN" w:bidi="ar-SA"/>
              </w:rPr>
            </w:pPr>
          </w:p>
        </w:tc>
        <w:tc>
          <w:tcPr>
            <w:tcW w:w="181"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C0C0C"/>
                <w:kern w:val="2"/>
                <w:sz w:val="24"/>
                <w:szCs w:val="24"/>
                <w:lang w:val="en-US" w:eastAsia="zh-CN" w:bidi="ar-SA"/>
              </w:rPr>
            </w:pPr>
          </w:p>
        </w:tc>
        <w:tc>
          <w:tcPr>
            <w:tcW w:w="5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C0C0C"/>
                <w:kern w:val="2"/>
                <w:sz w:val="24"/>
                <w:szCs w:val="24"/>
                <w:lang w:val="en-US" w:eastAsia="zh-CN" w:bidi="ar-SA"/>
              </w:rPr>
            </w:pPr>
          </w:p>
        </w:tc>
        <w:tc>
          <w:tcPr>
            <w:tcW w:w="450"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C0C0C"/>
                <w:kern w:val="2"/>
                <w:sz w:val="24"/>
                <w:szCs w:val="24"/>
                <w:lang w:val="en-US" w:eastAsia="zh-CN" w:bidi="ar-SA"/>
              </w:rPr>
            </w:pPr>
          </w:p>
        </w:tc>
        <w:tc>
          <w:tcPr>
            <w:tcW w:w="1396"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C0C0C"/>
                <w:kern w:val="2"/>
                <w:sz w:val="24"/>
                <w:szCs w:val="24"/>
                <w:lang w:val="en-US" w:eastAsia="zh-CN" w:bidi="ar-SA"/>
              </w:rPr>
            </w:pPr>
          </w:p>
        </w:tc>
        <w:tc>
          <w:tcPr>
            <w:tcW w:w="45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C0C0C"/>
                <w:kern w:val="2"/>
                <w:sz w:val="24"/>
                <w:szCs w:val="24"/>
                <w:lang w:val="en-US" w:eastAsia="zh-CN" w:bidi="ar-SA"/>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0"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5" w:type="pct"/>
            <w:vMerge w:val="restar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监理单位</w:t>
            </w:r>
          </w:p>
        </w:tc>
        <w:tc>
          <w:tcPr>
            <w:tcW w:w="18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kern w:val="2"/>
                <w:sz w:val="24"/>
                <w:szCs w:val="24"/>
                <w:lang w:val="en-US" w:eastAsia="zh-CN" w:bidi="ar-SA"/>
              </w:rPr>
              <w:t>13</w:t>
            </w:r>
            <w:r>
              <w:rPr>
                <w:rFonts w:hint="eastAsia" w:ascii="黑体" w:hAnsi="黑体" w:eastAsia="黑体" w:cs="黑体"/>
                <w:b w:val="0"/>
                <w:bCs w:val="0"/>
                <w:color w:val="0C0C0C"/>
                <w:sz w:val="24"/>
                <w:szCs w:val="24"/>
              </w:rPr>
              <w:t>★</w:t>
            </w:r>
          </w:p>
        </w:tc>
        <w:tc>
          <w:tcPr>
            <w:tcW w:w="585"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总监理工程师资格及到岗履责</w:t>
            </w:r>
          </w:p>
        </w:tc>
        <w:tc>
          <w:tcPr>
            <w:tcW w:w="45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检查总监理工程师资格符合要求、是否</w:t>
            </w:r>
            <w:r>
              <w:rPr>
                <w:rFonts w:hint="eastAsia" w:ascii="黑体" w:hAnsi="黑体" w:eastAsia="黑体" w:cs="黑体"/>
                <w:b w:val="0"/>
                <w:bCs w:val="0"/>
                <w:color w:val="auto"/>
                <w:sz w:val="24"/>
                <w:szCs w:val="24"/>
                <w:lang w:val="en-US" w:eastAsia="zh-CN"/>
              </w:rPr>
              <w:t>到岗履职</w:t>
            </w:r>
          </w:p>
        </w:tc>
        <w:tc>
          <w:tcPr>
            <w:tcW w:w="139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sz w:val="24"/>
                <w:szCs w:val="24"/>
              </w:rPr>
              <w:t>《山东省建筑工程质量</w:t>
            </w:r>
            <w:r>
              <w:rPr>
                <w:rFonts w:hint="eastAsia" w:ascii="黑体" w:hAnsi="黑体" w:eastAsia="黑体" w:cs="黑体"/>
                <w:b w:val="0"/>
                <w:bCs w:val="0"/>
                <w:sz w:val="24"/>
                <w:szCs w:val="24"/>
                <w:lang w:eastAsia="zh-CN"/>
              </w:rPr>
              <w:t>风险分级</w:t>
            </w:r>
            <w:r>
              <w:rPr>
                <w:rFonts w:hint="eastAsia" w:ascii="黑体" w:hAnsi="黑体" w:eastAsia="黑体" w:cs="黑体"/>
                <w:b w:val="0"/>
                <w:bCs w:val="0"/>
                <w:sz w:val="24"/>
                <w:szCs w:val="24"/>
              </w:rPr>
              <w:t>管控实施差异化监管技术指南1.0》附录A监理单位一级风险第1条</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总监理工程师资格不符合要求或未到岗履职</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kern w:val="2"/>
                <w:sz w:val="24"/>
                <w:szCs w:val="24"/>
                <w:lang w:val="en-US" w:eastAsia="zh-CN" w:bidi="ar-SA"/>
              </w:rPr>
              <w:t>14</w:t>
            </w:r>
            <w:r>
              <w:rPr>
                <w:rFonts w:hint="eastAsia" w:ascii="黑体" w:hAnsi="黑体" w:eastAsia="黑体" w:cs="黑体"/>
                <w:b w:val="0"/>
                <w:bCs w:val="0"/>
                <w:color w:val="0C0C0C"/>
                <w:sz w:val="24"/>
                <w:szCs w:val="24"/>
              </w:rPr>
              <w:t>★</w:t>
            </w:r>
          </w:p>
        </w:tc>
        <w:tc>
          <w:tcPr>
            <w:tcW w:w="585"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配备相应的具备资格的监理人员情况</w:t>
            </w:r>
          </w:p>
        </w:tc>
        <w:tc>
          <w:tcPr>
            <w:tcW w:w="45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val="en-US" w:eastAsia="zh-CN"/>
              </w:rPr>
              <w:t>检查监理人员配备齐全，并按规定到岗履职</w:t>
            </w:r>
          </w:p>
        </w:tc>
        <w:tc>
          <w:tcPr>
            <w:tcW w:w="139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sz w:val="24"/>
                <w:szCs w:val="24"/>
              </w:rPr>
              <w:t>《山东省建筑工程质量</w:t>
            </w:r>
            <w:r>
              <w:rPr>
                <w:rFonts w:hint="eastAsia" w:ascii="黑体" w:hAnsi="黑体" w:eastAsia="黑体" w:cs="黑体"/>
                <w:b w:val="0"/>
                <w:bCs w:val="0"/>
                <w:sz w:val="24"/>
                <w:szCs w:val="24"/>
                <w:lang w:eastAsia="zh-CN"/>
              </w:rPr>
              <w:t>风险分级</w:t>
            </w:r>
            <w:r>
              <w:rPr>
                <w:rFonts w:hint="eastAsia" w:ascii="黑体" w:hAnsi="黑体" w:eastAsia="黑体" w:cs="黑体"/>
                <w:b w:val="0"/>
                <w:bCs w:val="0"/>
                <w:sz w:val="24"/>
                <w:szCs w:val="24"/>
              </w:rPr>
              <w:t>管控实施差异化监管技术指南1.0》附录A监理单位一级风险第</w:t>
            </w:r>
            <w:r>
              <w:rPr>
                <w:rFonts w:hint="eastAsia" w:ascii="黑体" w:hAnsi="黑体" w:eastAsia="黑体" w:cs="黑体"/>
                <w:b w:val="0"/>
                <w:bCs w:val="0"/>
                <w:sz w:val="24"/>
                <w:szCs w:val="24"/>
                <w:lang w:val="en-US" w:eastAsia="zh-CN"/>
              </w:rPr>
              <w:t>2</w:t>
            </w:r>
            <w:r>
              <w:rPr>
                <w:rFonts w:hint="eastAsia" w:ascii="黑体" w:hAnsi="黑体" w:eastAsia="黑体" w:cs="黑体"/>
                <w:b w:val="0"/>
                <w:bCs w:val="0"/>
                <w:sz w:val="24"/>
                <w:szCs w:val="24"/>
              </w:rPr>
              <w:t>条</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未配备足够具备资格的监理工程师或未到岗履职。</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kern w:val="2"/>
                <w:sz w:val="24"/>
                <w:szCs w:val="24"/>
                <w:lang w:val="en-US" w:eastAsia="zh-CN" w:bidi="ar-SA"/>
              </w:rPr>
              <w:t>15</w:t>
            </w:r>
            <w:r>
              <w:rPr>
                <w:rFonts w:hint="eastAsia" w:ascii="黑体" w:hAnsi="黑体" w:eastAsia="黑体" w:cs="黑体"/>
                <w:b w:val="0"/>
                <w:bCs w:val="0"/>
                <w:color w:val="0C0C0C"/>
                <w:sz w:val="24"/>
                <w:szCs w:val="24"/>
              </w:rPr>
              <w:t>★</w:t>
            </w:r>
          </w:p>
        </w:tc>
        <w:tc>
          <w:tcPr>
            <w:tcW w:w="585"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监理规划、监理实施细则的编制、审批情况</w:t>
            </w:r>
          </w:p>
        </w:tc>
        <w:tc>
          <w:tcPr>
            <w:tcW w:w="450"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监理规划、监理实施细则是否编制齐全，内容符合规范要求，有针对性，按规定程序进行审批</w:t>
            </w:r>
          </w:p>
        </w:tc>
        <w:tc>
          <w:tcPr>
            <w:tcW w:w="1396"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sz w:val="24"/>
                <w:szCs w:val="24"/>
              </w:rPr>
              <w:t>《建筑与市政工程施工质量控制</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w:t>
            </w:r>
            <w:r>
              <w:rPr>
                <w:rFonts w:hint="eastAsia" w:ascii="黑体" w:hAnsi="黑体" w:eastAsia="黑体" w:cs="黑体"/>
                <w:b w:val="0"/>
                <w:bCs w:val="0"/>
                <w:sz w:val="24"/>
                <w:szCs w:val="24"/>
                <w:lang w:eastAsia="zh-CN"/>
              </w:rPr>
              <w:t>GB</w:t>
            </w:r>
            <w:r>
              <w:rPr>
                <w:rFonts w:hint="eastAsia" w:ascii="黑体" w:hAnsi="黑体" w:eastAsia="黑体" w:cs="黑体"/>
                <w:b w:val="0"/>
                <w:bCs w:val="0"/>
                <w:sz w:val="24"/>
                <w:szCs w:val="24"/>
              </w:rPr>
              <w:t>55032-2022第2.0.8</w:t>
            </w:r>
            <w:r>
              <w:rPr>
                <w:rFonts w:hint="eastAsia" w:ascii="黑体" w:hAnsi="黑体" w:eastAsia="黑体" w:cs="黑体"/>
                <w:b w:val="0"/>
                <w:bCs w:val="0"/>
                <w:sz w:val="24"/>
                <w:szCs w:val="24"/>
                <w:lang w:val="en-US" w:eastAsia="zh-CN"/>
              </w:rPr>
              <w:t>条：</w:t>
            </w:r>
            <w:r>
              <w:rPr>
                <w:rFonts w:hint="eastAsia" w:ascii="黑体" w:hAnsi="黑体" w:eastAsia="黑体" w:cs="黑体"/>
                <w:b w:val="0"/>
                <w:bCs w:val="0"/>
                <w:sz w:val="24"/>
                <w:szCs w:val="24"/>
              </w:rPr>
              <w:t>实行监理的工程项目，施工前应编制监理规划和监理实施细则，并应按规定程序审批，当需变更时应按原审批程序办理变更手续。</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kern w:val="2"/>
                <w:sz w:val="24"/>
                <w:szCs w:val="24"/>
                <w:lang w:val="en-US" w:eastAsia="zh-CN" w:bidi="ar-SA"/>
              </w:rPr>
              <w:t>16</w:t>
            </w:r>
            <w:r>
              <w:rPr>
                <w:rFonts w:hint="eastAsia" w:ascii="黑体" w:hAnsi="黑体" w:eastAsia="黑体" w:cs="黑体"/>
                <w:b w:val="0"/>
                <w:bCs w:val="0"/>
                <w:color w:val="0C0C0C"/>
                <w:sz w:val="24"/>
                <w:szCs w:val="24"/>
              </w:rPr>
              <w:t>★</w:t>
            </w:r>
          </w:p>
        </w:tc>
        <w:tc>
          <w:tcPr>
            <w:tcW w:w="585"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对重点部位、关键工序实施旁站监理，做好旁站记录情况</w:t>
            </w:r>
          </w:p>
        </w:tc>
        <w:tc>
          <w:tcPr>
            <w:tcW w:w="450"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检查是否实施旁站监理，旁站记录是否真实完整</w:t>
            </w:r>
          </w:p>
        </w:tc>
        <w:tc>
          <w:tcPr>
            <w:tcW w:w="1396"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sz w:val="24"/>
                <w:szCs w:val="24"/>
              </w:rPr>
              <w:t>《建筑与市政工程施工质量控制</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w:t>
            </w:r>
            <w:r>
              <w:rPr>
                <w:rFonts w:hint="eastAsia" w:ascii="黑体" w:hAnsi="黑体" w:eastAsia="黑体" w:cs="黑体"/>
                <w:b w:val="0"/>
                <w:bCs w:val="0"/>
                <w:sz w:val="24"/>
                <w:szCs w:val="24"/>
                <w:lang w:eastAsia="zh-CN"/>
              </w:rPr>
              <w:t>GB</w:t>
            </w:r>
            <w:r>
              <w:rPr>
                <w:rFonts w:hint="eastAsia" w:ascii="黑体" w:hAnsi="黑体" w:eastAsia="黑体" w:cs="黑体"/>
                <w:b w:val="0"/>
                <w:bCs w:val="0"/>
                <w:sz w:val="24"/>
                <w:szCs w:val="24"/>
              </w:rPr>
              <w:t>55032-2022第3.3.3：监理人员应对工程施工质量进行巡视、平行检验，对关键部位、关键工序进行旁站，并应及时记录检查情况。</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kern w:val="2"/>
                <w:sz w:val="24"/>
                <w:szCs w:val="24"/>
                <w:lang w:val="en-US" w:eastAsia="zh-CN" w:bidi="ar-SA"/>
              </w:rPr>
              <w:t>17</w:t>
            </w:r>
            <w:r>
              <w:rPr>
                <w:rFonts w:hint="eastAsia" w:ascii="黑体" w:hAnsi="黑体" w:eastAsia="黑体" w:cs="黑体"/>
                <w:b w:val="0"/>
                <w:bCs w:val="0"/>
                <w:color w:val="0C0C0C"/>
                <w:sz w:val="24"/>
                <w:szCs w:val="24"/>
              </w:rPr>
              <w:t>★</w:t>
            </w:r>
          </w:p>
        </w:tc>
        <w:tc>
          <w:tcPr>
            <w:tcW w:w="585"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对施工质量进行巡视、平行检验情况</w:t>
            </w:r>
          </w:p>
        </w:tc>
        <w:tc>
          <w:tcPr>
            <w:tcW w:w="450"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检查是否按规定进行巡视、平行检验</w:t>
            </w:r>
          </w:p>
        </w:tc>
        <w:tc>
          <w:tcPr>
            <w:tcW w:w="1396"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sz w:val="24"/>
                <w:szCs w:val="24"/>
              </w:rPr>
              <w:t>《建筑与市政工程施工质量控制</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w:t>
            </w:r>
            <w:r>
              <w:rPr>
                <w:rFonts w:hint="eastAsia" w:ascii="黑体" w:hAnsi="黑体" w:eastAsia="黑体" w:cs="黑体"/>
                <w:b w:val="0"/>
                <w:bCs w:val="0"/>
                <w:sz w:val="24"/>
                <w:szCs w:val="24"/>
                <w:lang w:eastAsia="zh-CN"/>
              </w:rPr>
              <w:t>GB</w:t>
            </w:r>
            <w:r>
              <w:rPr>
                <w:rFonts w:hint="eastAsia" w:ascii="黑体" w:hAnsi="黑体" w:eastAsia="黑体" w:cs="黑体"/>
                <w:b w:val="0"/>
                <w:bCs w:val="0"/>
                <w:sz w:val="24"/>
                <w:szCs w:val="24"/>
              </w:rPr>
              <w:t>55032-2022第3.3.3：监理人员应对工程施工质量进行巡视、平行检验，对关键部位、关键工序进行旁站，并应及时记录检查情况。</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p>
        </w:tc>
        <w:tc>
          <w:tcPr>
            <w:tcW w:w="181"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kern w:val="2"/>
                <w:sz w:val="24"/>
                <w:szCs w:val="24"/>
                <w:lang w:val="en-US" w:eastAsia="zh-CN" w:bidi="ar-SA"/>
              </w:rPr>
              <w:t>18</w:t>
            </w:r>
            <w:r>
              <w:rPr>
                <w:rFonts w:hint="eastAsia" w:ascii="黑体" w:hAnsi="黑体" w:eastAsia="黑体" w:cs="黑体"/>
                <w:b w:val="0"/>
                <w:bCs w:val="0"/>
                <w:color w:val="0C0C0C"/>
                <w:sz w:val="24"/>
                <w:szCs w:val="24"/>
              </w:rPr>
              <w:t>★</w:t>
            </w:r>
          </w:p>
        </w:tc>
        <w:tc>
          <w:tcPr>
            <w:tcW w:w="585"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签发质量问题通知单，复查质量问题整改情况</w:t>
            </w:r>
          </w:p>
        </w:tc>
        <w:tc>
          <w:tcPr>
            <w:tcW w:w="450"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eastAsia="zh-CN"/>
              </w:rPr>
              <w:t>质量问题通知单签发手续齐全，及时复查质量问题整改结果，资料齐全</w:t>
            </w:r>
          </w:p>
        </w:tc>
        <w:tc>
          <w:tcPr>
            <w:tcW w:w="1396"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eastAsia="zh-CN"/>
              </w:rPr>
            </w:pPr>
            <w:r>
              <w:rPr>
                <w:rFonts w:hint="eastAsia" w:ascii="黑体" w:hAnsi="黑体" w:eastAsia="黑体" w:cs="黑体"/>
                <w:b w:val="0"/>
                <w:bCs w:val="0"/>
                <w:sz w:val="24"/>
                <w:szCs w:val="24"/>
              </w:rPr>
              <w:t>《山东省建筑工程质量</w:t>
            </w:r>
            <w:r>
              <w:rPr>
                <w:rFonts w:hint="eastAsia" w:ascii="黑体" w:hAnsi="黑体" w:eastAsia="黑体" w:cs="黑体"/>
                <w:b w:val="0"/>
                <w:bCs w:val="0"/>
                <w:sz w:val="24"/>
                <w:szCs w:val="24"/>
                <w:lang w:eastAsia="zh-CN"/>
              </w:rPr>
              <w:t>风险分级</w:t>
            </w:r>
            <w:r>
              <w:rPr>
                <w:rFonts w:hint="eastAsia" w:ascii="黑体" w:hAnsi="黑体" w:eastAsia="黑体" w:cs="黑体"/>
                <w:b w:val="0"/>
                <w:bCs w:val="0"/>
                <w:sz w:val="24"/>
                <w:szCs w:val="24"/>
              </w:rPr>
              <w:t>管控实施差异化监管技术指南1.0》附录A监理单位一级风险第8条</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未按要求签发监理通知单，未复查质量问题整改结果</w:t>
            </w:r>
            <w:r>
              <w:rPr>
                <w:rFonts w:hint="eastAsia" w:ascii="黑体" w:hAnsi="黑体" w:eastAsia="黑体" w:cs="黑体"/>
                <w:b w:val="0"/>
                <w:bCs w:val="0"/>
                <w:sz w:val="24"/>
                <w:szCs w:val="24"/>
                <w:lang w:eastAsia="zh-CN"/>
              </w:rPr>
              <w:t>。</w:t>
            </w: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81"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585"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0"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1396" w:type="pct"/>
            <w:vMerge w:val="continue"/>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1"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0"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restar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倒查企业</w:t>
            </w:r>
          </w:p>
        </w:tc>
        <w:tc>
          <w:tcPr>
            <w:tcW w:w="181"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val="en-US" w:eastAsia="zh-CN"/>
              </w:rPr>
              <w:t>19</w:t>
            </w:r>
          </w:p>
        </w:tc>
        <w:tc>
          <w:tcPr>
            <w:tcW w:w="585"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val="en-US" w:eastAsia="zh-CN"/>
              </w:rPr>
              <w:t>倒查施工总承包、专业分包、劳务分包、监理单位、建设单位情况</w:t>
            </w:r>
          </w:p>
        </w:tc>
        <w:tc>
          <w:tcPr>
            <w:tcW w:w="450" w:type="pct"/>
            <w:vMerge w:val="restar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检查企业落实省厅政策文件情况</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检查企业质量保证体系、质量管理体系执行情况</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kern w:val="2"/>
                <w:sz w:val="24"/>
                <w:szCs w:val="24"/>
                <w:lang w:val="en-US" w:eastAsia="zh-CN" w:bidi="ar-SA"/>
              </w:rPr>
            </w:pPr>
            <w:r>
              <w:rPr>
                <w:rFonts w:hint="eastAsia" w:ascii="黑体" w:hAnsi="黑体" w:eastAsia="黑体" w:cs="黑体"/>
                <w:b w:val="0"/>
                <w:bCs w:val="0"/>
                <w:color w:val="auto"/>
                <w:sz w:val="24"/>
                <w:szCs w:val="24"/>
                <w:lang w:val="en-US" w:eastAsia="zh-CN"/>
              </w:rPr>
              <w:t>检查企业对项目日常检查及问题整改跟踪情况</w:t>
            </w:r>
          </w:p>
        </w:tc>
        <w:tc>
          <w:tcPr>
            <w:tcW w:w="1396" w:type="pct"/>
            <w:vMerge w:val="restar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kern w:val="2"/>
                <w:sz w:val="24"/>
                <w:szCs w:val="24"/>
                <w:lang w:val="en-US" w:eastAsia="zh-CN" w:bidi="ar-SA"/>
              </w:rPr>
              <w:t>《住房和城乡建设部关于落实建设单位工程质量首要责任的通知》（建质规[2020]9号）；《工程监理企业资质管理规定》（建设部令第158号）；《建筑与市政工程施工质量控制通用规范》GB55032-2022第2.0.1：工程项目施工应建立项目质量管理体系，明确质量责任人及岗位职责，建立质量责任追溯制度。</w:t>
            </w:r>
          </w:p>
        </w:tc>
        <w:tc>
          <w:tcPr>
            <w:tcW w:w="45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kern w:val="2"/>
                <w:sz w:val="24"/>
                <w:szCs w:val="24"/>
                <w:lang w:val="en-US" w:eastAsia="zh-CN" w:bidi="ar-SA"/>
              </w:rPr>
              <w:t>建设单位</w:t>
            </w: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0"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181"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5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450"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1396"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45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kern w:val="2"/>
                <w:sz w:val="24"/>
                <w:szCs w:val="24"/>
                <w:lang w:val="en-US" w:eastAsia="zh-CN" w:bidi="ar-SA"/>
              </w:rPr>
              <w:t>监理单位</w:t>
            </w: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0"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81"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5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0"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396"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kern w:val="2"/>
                <w:sz w:val="24"/>
                <w:szCs w:val="24"/>
                <w:lang w:val="en-US" w:eastAsia="zh-CN" w:bidi="ar-SA"/>
              </w:rPr>
              <w:t>施工总承包</w:t>
            </w: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0"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81"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5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0"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396"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kern w:val="2"/>
                <w:sz w:val="24"/>
                <w:szCs w:val="24"/>
                <w:lang w:val="en-US" w:eastAsia="zh-CN" w:bidi="ar-SA"/>
              </w:rPr>
              <w:t>专业分包</w:t>
            </w: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0"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81"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5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0"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396"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kern w:val="2"/>
                <w:sz w:val="24"/>
                <w:szCs w:val="24"/>
                <w:lang w:val="en-US" w:eastAsia="zh-CN" w:bidi="ar-SA"/>
              </w:rPr>
              <w:t>劳务分包</w:t>
            </w:r>
          </w:p>
        </w:tc>
        <w:tc>
          <w:tcPr>
            <w:tcW w:w="459"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0"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bl>
    <w:p>
      <w:pPr>
        <w:rPr>
          <w:rFonts w:hint="eastAsia" w:ascii="黑体" w:hAnsi="黑体" w:eastAsia="黑体" w:cs="仿宋"/>
          <w:b/>
          <w:color w:val="000000"/>
          <w:sz w:val="32"/>
          <w:szCs w:val="32"/>
        </w:rPr>
      </w:pPr>
      <w:r>
        <w:rPr>
          <w:rFonts w:hint="eastAsia" w:ascii="黑体" w:hAnsi="黑体" w:eastAsia="黑体" w:cs="仿宋"/>
          <w:b/>
          <w:color w:val="000000"/>
          <w:sz w:val="32"/>
          <w:szCs w:val="32"/>
        </w:rPr>
        <w:br w:type="page"/>
      </w:r>
    </w:p>
    <w:p>
      <w:pPr>
        <w:pStyle w:val="2"/>
        <w:keepNext w:val="0"/>
        <w:keepLines w:val="0"/>
        <w:pageBreakBefore w:val="0"/>
        <w:widowControl w:val="0"/>
        <w:kinsoku/>
        <w:wordWrap/>
        <w:overflowPunct/>
        <w:topLinePunct w:val="0"/>
        <w:autoSpaceDE w:val="0"/>
        <w:autoSpaceDN w:val="0"/>
        <w:bidi w:val="0"/>
        <w:adjustRightInd/>
        <w:snapToGrid/>
        <w:spacing w:before="313" w:beforeLines="100"/>
        <w:ind w:left="0" w:firstLine="0"/>
        <w:jc w:val="center"/>
        <w:textAlignment w:val="auto"/>
        <w:rPr>
          <w:rFonts w:hint="eastAsia" w:ascii="黑体" w:hAnsi="黑体" w:eastAsia="黑体" w:cs="仿宋"/>
          <w:color w:val="000000"/>
          <w:kern w:val="2"/>
          <w:sz w:val="24"/>
          <w:szCs w:val="24"/>
          <w:lang w:eastAsia="zh-CN"/>
        </w:rPr>
      </w:pPr>
      <w:r>
        <w:rPr>
          <w:rFonts w:hint="eastAsia" w:ascii="黑体" w:hAnsi="黑体" w:eastAsia="黑体" w:cs="仿宋"/>
          <w:b/>
          <w:color w:val="000000"/>
          <w:sz w:val="32"/>
          <w:szCs w:val="32"/>
        </w:rPr>
        <w:t>实体质量状况巡查表（受检工程）</w:t>
      </w:r>
    </w:p>
    <w:tbl>
      <w:tblPr>
        <w:tblStyle w:val="6"/>
        <w:tblW w:w="45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530"/>
        <w:gridCol w:w="1558"/>
        <w:gridCol w:w="4992"/>
        <w:gridCol w:w="1186"/>
        <w:gridCol w:w="1227"/>
        <w:gridCol w:w="3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82" w:type="pct"/>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检查项目</w:t>
            </w:r>
          </w:p>
        </w:tc>
        <w:tc>
          <w:tcPr>
            <w:tcW w:w="579"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检查内容</w:t>
            </w:r>
          </w:p>
        </w:tc>
        <w:tc>
          <w:tcPr>
            <w:tcW w:w="1857"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auto"/>
                <w:sz w:val="24"/>
                <w:szCs w:val="24"/>
                <w:lang w:val="en-US" w:eastAsia="zh-CN"/>
              </w:rPr>
              <w:t>检查依据</w:t>
            </w:r>
          </w:p>
        </w:tc>
        <w:tc>
          <w:tcPr>
            <w:tcW w:w="441"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检查</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部位</w:t>
            </w: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lang w:val="en-US" w:eastAsia="zh-CN"/>
              </w:rPr>
              <w:t>评价</w:t>
            </w:r>
          </w:p>
        </w:tc>
        <w:tc>
          <w:tcPr>
            <w:tcW w:w="1182" w:type="pct"/>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rPr>
              <w:t>问题描述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（一）钢筋工程</w:t>
            </w: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1</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作业面钢筋品种、级别、规格、数量位置及固定措施</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混凝土结构工程施工规范</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GB50666-2011</w:t>
            </w:r>
            <w:r>
              <w:rPr>
                <w:rFonts w:hint="eastAsia" w:ascii="黑体" w:hAnsi="黑体" w:eastAsia="黑体" w:cs="黑体"/>
                <w:b w:val="0"/>
                <w:bCs w:val="0"/>
                <w:color w:val="000000"/>
                <w:sz w:val="24"/>
                <w:szCs w:val="24"/>
                <w:lang w:val="en-US" w:eastAsia="zh-CN"/>
              </w:rPr>
              <w:t>第</w:t>
            </w:r>
            <w:r>
              <w:rPr>
                <w:rFonts w:hint="eastAsia" w:ascii="黑体" w:hAnsi="黑体" w:eastAsia="黑体" w:cs="黑体"/>
                <w:b w:val="0"/>
                <w:bCs w:val="0"/>
                <w:color w:val="000000"/>
                <w:sz w:val="24"/>
                <w:szCs w:val="24"/>
              </w:rPr>
              <w:t>5.4.9</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钢筋安装应采用定位件固定钢筋的位置，并宜采用专用定位件。定位件应具有足够的承载力、刚度、稳定性和耐久性。定位件的数量、间距和固定方式，应能保证钢筋的位置偏差符合国家现行有关标准的规定。混凝土框架梁、柱保护层内，不宜采用金属定位件</w:t>
            </w:r>
            <w:r>
              <w:rPr>
                <w:rFonts w:hint="eastAsia" w:ascii="黑体" w:hAnsi="黑体" w:eastAsia="黑体" w:cs="黑体"/>
                <w:b w:val="0"/>
                <w:bCs w:val="0"/>
                <w:color w:val="000000"/>
                <w:sz w:val="24"/>
                <w:szCs w:val="24"/>
                <w:lang w:eastAsia="zh-CN"/>
              </w:rPr>
              <w:t>。</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2</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钢筋的级别或规格变更是否办理设计变更文件</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混凝土结构工程施工规范</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GB50666-2011</w:t>
            </w:r>
            <w:r>
              <w:rPr>
                <w:rFonts w:hint="eastAsia" w:ascii="黑体" w:hAnsi="黑体" w:eastAsia="黑体" w:cs="黑体"/>
                <w:b w:val="0"/>
                <w:bCs w:val="0"/>
                <w:color w:val="000000"/>
                <w:sz w:val="24"/>
                <w:szCs w:val="24"/>
                <w:lang w:val="en-US" w:eastAsia="zh-CN"/>
              </w:rPr>
              <w:t>第</w:t>
            </w:r>
            <w:r>
              <w:rPr>
                <w:rFonts w:hint="eastAsia" w:ascii="黑体" w:hAnsi="黑体" w:eastAsia="黑体" w:cs="黑体"/>
                <w:b w:val="0"/>
                <w:bCs w:val="0"/>
                <w:color w:val="000000"/>
                <w:sz w:val="24"/>
                <w:szCs w:val="24"/>
              </w:rPr>
              <w:t>5.1.3</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当需要进行钢筋代换时，应办理设计变更文件。</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lang w:eastAsia="zh-CN"/>
              </w:rPr>
              <w:t>□</w:t>
            </w: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3</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钢筋加工制作</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val="en-US"/>
              </w:rPr>
            </w:pPr>
            <w:r>
              <w:rPr>
                <w:rFonts w:hint="eastAsia" w:ascii="黑体" w:hAnsi="黑体" w:eastAsia="黑体" w:cs="黑体"/>
                <w:b w:val="0"/>
                <w:bCs w:val="0"/>
                <w:color w:val="0C0C0C"/>
                <w:sz w:val="24"/>
                <w:szCs w:val="24"/>
                <w:lang w:val="en-US" w:eastAsia="zh-CN"/>
              </w:rPr>
              <w:t>《混凝土结构工程施工质量验收规范》GB 50204-2015第5.3钢筋加工。</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4★</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钢筋连接方式和连接质量</w:t>
            </w:r>
          </w:p>
        </w:tc>
        <w:tc>
          <w:tcPr>
            <w:tcW w:w="1857" w:type="pct"/>
            <w:vMerge w:val="restart"/>
            <w:vAlign w:val="center"/>
          </w:tcPr>
          <w:p>
            <w:pPr>
              <w:jc w:val="left"/>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0C0C0C"/>
                <w:sz w:val="24"/>
                <w:szCs w:val="24"/>
                <w:lang w:val="en-US" w:eastAsia="zh-CN"/>
              </w:rPr>
              <w:t>《混凝土结构工程施工质量验收规范》GB 50204-2015第5.4钢筋连接；</w:t>
            </w:r>
          </w:p>
          <w:p>
            <w:pPr>
              <w:jc w:val="left"/>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《山东省建筑工程质量</w:t>
            </w:r>
            <w:r>
              <w:rPr>
                <w:rFonts w:hint="eastAsia" w:ascii="黑体" w:hAnsi="黑体" w:eastAsia="黑体" w:cs="黑体"/>
                <w:b w:val="0"/>
                <w:bCs w:val="0"/>
                <w:color w:val="000000"/>
                <w:sz w:val="24"/>
                <w:szCs w:val="24"/>
                <w:lang w:eastAsia="zh-CN"/>
              </w:rPr>
              <w:t>风险分级</w:t>
            </w:r>
            <w:r>
              <w:rPr>
                <w:rFonts w:hint="eastAsia" w:ascii="黑体" w:hAnsi="黑体" w:eastAsia="黑体" w:cs="黑体"/>
                <w:b w:val="0"/>
                <w:bCs w:val="0"/>
                <w:color w:val="000000"/>
                <w:sz w:val="24"/>
                <w:szCs w:val="24"/>
              </w:rPr>
              <w:t>管控实施差异化监管技术指南1.0》附录B二、主体结构5风险源名称：A类风险源：（1）使用不合格钢筋；（2）钢筋连接和安装不符合设计和规范要求。</w:t>
            </w:r>
          </w:p>
        </w:tc>
        <w:tc>
          <w:tcPr>
            <w:tcW w:w="441" w:type="pct"/>
            <w:vAlign w:val="center"/>
          </w:tcPr>
          <w:p>
            <w:pPr>
              <w:jc w:val="left"/>
              <w:rPr>
                <w:rFonts w:hint="eastAsia" w:ascii="黑体" w:hAnsi="黑体" w:eastAsia="黑体" w:cs="黑体"/>
                <w:b w:val="0"/>
                <w:bCs w:val="0"/>
                <w:color w:val="00000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jc w:val="left"/>
              <w:rPr>
                <w:rFonts w:hint="eastAsia" w:ascii="黑体" w:hAnsi="黑体" w:eastAsia="黑体" w:cs="黑体"/>
                <w:b w:val="0"/>
                <w:bCs w:val="0"/>
                <w:sz w:val="24"/>
                <w:szCs w:val="24"/>
              </w:rPr>
            </w:pPr>
          </w:p>
        </w:tc>
        <w:tc>
          <w:tcPr>
            <w:tcW w:w="197" w:type="pct"/>
            <w:vMerge w:val="continue"/>
            <w:vAlign w:val="center"/>
          </w:tcPr>
          <w:p>
            <w:pPr>
              <w:jc w:val="left"/>
              <w:rPr>
                <w:rFonts w:hint="eastAsia" w:ascii="黑体" w:hAnsi="黑体" w:eastAsia="黑体" w:cs="黑体"/>
                <w:b w:val="0"/>
                <w:bCs w:val="0"/>
                <w:sz w:val="24"/>
                <w:szCs w:val="24"/>
              </w:rPr>
            </w:pPr>
          </w:p>
        </w:tc>
        <w:tc>
          <w:tcPr>
            <w:tcW w:w="579" w:type="pct"/>
            <w:vMerge w:val="continue"/>
            <w:vAlign w:val="center"/>
          </w:tcPr>
          <w:p>
            <w:pPr>
              <w:jc w:val="left"/>
              <w:rPr>
                <w:rFonts w:hint="eastAsia" w:ascii="黑体" w:hAnsi="黑体" w:eastAsia="黑体" w:cs="黑体"/>
                <w:b w:val="0"/>
                <w:bCs w:val="0"/>
                <w:sz w:val="24"/>
                <w:szCs w:val="24"/>
              </w:rPr>
            </w:pPr>
          </w:p>
        </w:tc>
        <w:tc>
          <w:tcPr>
            <w:tcW w:w="1857" w:type="pct"/>
            <w:vMerge w:val="continue"/>
            <w:vAlign w:val="center"/>
          </w:tcPr>
          <w:p>
            <w:pPr>
              <w:jc w:val="left"/>
              <w:rPr>
                <w:rFonts w:hint="eastAsia" w:ascii="黑体" w:hAnsi="黑体" w:eastAsia="黑体" w:cs="黑体"/>
                <w:b w:val="0"/>
                <w:bCs w:val="0"/>
                <w:sz w:val="24"/>
                <w:szCs w:val="24"/>
              </w:rPr>
            </w:pPr>
          </w:p>
        </w:tc>
        <w:tc>
          <w:tcPr>
            <w:tcW w:w="441" w:type="pct"/>
            <w:vAlign w:val="center"/>
          </w:tcPr>
          <w:p>
            <w:pPr>
              <w:jc w:val="left"/>
              <w:rPr>
                <w:rFonts w:hint="eastAsia" w:ascii="黑体" w:hAnsi="黑体" w:eastAsia="黑体" w:cs="黑体"/>
                <w:b w:val="0"/>
                <w:bCs w:val="0"/>
                <w:color w:val="00000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jc w:val="left"/>
              <w:rPr>
                <w:rFonts w:hint="eastAsia" w:ascii="黑体" w:hAnsi="黑体" w:eastAsia="黑体" w:cs="黑体"/>
                <w:b w:val="0"/>
                <w:bCs w:val="0"/>
                <w:color w:val="000000"/>
                <w:sz w:val="24"/>
                <w:szCs w:val="24"/>
              </w:rPr>
            </w:pPr>
          </w:p>
        </w:tc>
        <w:tc>
          <w:tcPr>
            <w:tcW w:w="197" w:type="pct"/>
            <w:vMerge w:val="continue"/>
            <w:vAlign w:val="center"/>
          </w:tcPr>
          <w:p>
            <w:pPr>
              <w:jc w:val="left"/>
              <w:rPr>
                <w:rFonts w:hint="eastAsia" w:ascii="黑体" w:hAnsi="黑体" w:eastAsia="黑体" w:cs="黑体"/>
                <w:b w:val="0"/>
                <w:bCs w:val="0"/>
                <w:color w:val="000000"/>
                <w:sz w:val="24"/>
                <w:szCs w:val="24"/>
              </w:rPr>
            </w:pPr>
          </w:p>
        </w:tc>
        <w:tc>
          <w:tcPr>
            <w:tcW w:w="579" w:type="pct"/>
            <w:vMerge w:val="continue"/>
            <w:vAlign w:val="center"/>
          </w:tcPr>
          <w:p>
            <w:pPr>
              <w:jc w:val="left"/>
              <w:rPr>
                <w:rFonts w:hint="eastAsia" w:ascii="黑体" w:hAnsi="黑体" w:eastAsia="黑体" w:cs="黑体"/>
                <w:b w:val="0"/>
                <w:bCs w:val="0"/>
                <w:color w:val="000000"/>
                <w:sz w:val="24"/>
                <w:szCs w:val="24"/>
              </w:rPr>
            </w:pPr>
          </w:p>
        </w:tc>
        <w:tc>
          <w:tcPr>
            <w:tcW w:w="1857" w:type="pct"/>
            <w:vMerge w:val="continue"/>
            <w:vAlign w:val="center"/>
          </w:tcPr>
          <w:p>
            <w:pPr>
              <w:jc w:val="left"/>
              <w:rPr>
                <w:rFonts w:hint="eastAsia" w:ascii="黑体" w:hAnsi="黑体" w:eastAsia="黑体" w:cs="黑体"/>
                <w:b w:val="0"/>
                <w:bCs w:val="0"/>
                <w:color w:val="000000"/>
                <w:sz w:val="24"/>
                <w:szCs w:val="24"/>
              </w:rPr>
            </w:pPr>
          </w:p>
        </w:tc>
        <w:tc>
          <w:tcPr>
            <w:tcW w:w="441" w:type="pct"/>
            <w:vAlign w:val="center"/>
          </w:tcPr>
          <w:p>
            <w:pPr>
              <w:jc w:val="left"/>
              <w:rPr>
                <w:rFonts w:hint="eastAsia" w:ascii="黑体" w:hAnsi="黑体" w:eastAsia="黑体" w:cs="黑体"/>
                <w:b w:val="0"/>
                <w:bCs w:val="0"/>
                <w:color w:val="00000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（二）混凝土工程</w:t>
            </w: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5★</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混凝土试块留置数量、养护环境、标识等</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sz w:val="24"/>
                <w:szCs w:val="24"/>
              </w:rPr>
              <w:t>《山东省建筑工程质量</w:t>
            </w:r>
            <w:r>
              <w:rPr>
                <w:rFonts w:hint="eastAsia" w:ascii="黑体" w:hAnsi="黑体" w:eastAsia="黑体" w:cs="黑体"/>
                <w:b w:val="0"/>
                <w:bCs w:val="0"/>
                <w:sz w:val="24"/>
                <w:szCs w:val="24"/>
                <w:lang w:eastAsia="zh-CN"/>
              </w:rPr>
              <w:t>风险分级</w:t>
            </w:r>
            <w:r>
              <w:rPr>
                <w:rFonts w:hint="eastAsia" w:ascii="黑体" w:hAnsi="黑体" w:eastAsia="黑体" w:cs="黑体"/>
                <w:b w:val="0"/>
                <w:bCs w:val="0"/>
                <w:sz w:val="24"/>
                <w:szCs w:val="24"/>
              </w:rPr>
              <w:t>管控实施差异化监管技术指南1.0》附录B二、主体结构-混凝土施工的规定</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（2）未按规范要求数量留置混凝土试块，混凝土试块强度检测结果严重低于标准强度，混凝土强度评定不合格。</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6★</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混凝土外观质量</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《混凝土结构</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》GB55008-2021第</w:t>
            </w:r>
            <w:r>
              <w:rPr>
                <w:rFonts w:hint="eastAsia" w:ascii="黑体" w:hAnsi="黑体" w:eastAsia="黑体" w:cs="黑体"/>
                <w:b w:val="0"/>
                <w:bCs w:val="0"/>
                <w:color w:val="000000"/>
                <w:sz w:val="24"/>
                <w:szCs w:val="24"/>
              </w:rPr>
              <w:t>5.1.5：混凝土结构的外观质量不应有严重缺陷及影响结构性能和使用功能的尺寸偏差。</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7</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混凝土结构施工缝留设位置</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val="en-US"/>
              </w:rPr>
            </w:pP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混凝土结构工程施工规范</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GB50666-2011</w:t>
            </w:r>
            <w:r>
              <w:rPr>
                <w:rFonts w:hint="eastAsia" w:ascii="黑体" w:hAnsi="黑体" w:eastAsia="黑体" w:cs="黑体"/>
                <w:b w:val="0"/>
                <w:bCs w:val="0"/>
                <w:color w:val="000000"/>
                <w:sz w:val="24"/>
                <w:szCs w:val="24"/>
                <w:lang w:val="en-US" w:eastAsia="zh-CN"/>
              </w:rPr>
              <w:t>第8.6：混凝土施工缝与后浇带。</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8</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不同强度等级混凝土施工部位</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混凝土结构工程施工规范</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GB50666-2011</w:t>
            </w:r>
            <w:r>
              <w:rPr>
                <w:rFonts w:hint="eastAsia" w:ascii="黑体" w:hAnsi="黑体" w:eastAsia="黑体" w:cs="黑体"/>
                <w:b w:val="0"/>
                <w:bCs w:val="0"/>
                <w:color w:val="000000"/>
                <w:sz w:val="24"/>
                <w:szCs w:val="24"/>
                <w:lang w:val="en-US" w:eastAsia="zh-CN"/>
              </w:rPr>
              <w:t>第</w:t>
            </w:r>
            <w:r>
              <w:rPr>
                <w:rFonts w:hint="eastAsia" w:ascii="黑体" w:hAnsi="黑体" w:eastAsia="黑体" w:cs="黑体"/>
                <w:b w:val="0"/>
                <w:bCs w:val="0"/>
                <w:color w:val="000000"/>
                <w:sz w:val="24"/>
                <w:szCs w:val="24"/>
              </w:rPr>
              <w:t>8.3.8</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柱、墙混凝土设计强度等级高于梁、板混凝土设计强度等级时，混凝土浇筑应符合下列规定：1.柱、墙混凝土设计强度比梁、板混凝土设计强度高一个等级时，柱、墙位置梁、板高度范围内的混凝土经设计单位确认，可采用与梁、板混凝土设计强度等级相同的混凝土进行浇筑；2柱、墙混凝土设计强度比梁、板混凝土设计强度高两个等级及以上时，应在交界区域采取分隔措施；分隔位置应在低强度等级的构件中，且距高强度等级构件边缘不应小于500mm;3宜先浇筑强度等级高的混凝土，后浇筑强度等级低的混凝土。</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（三）实体质量抽测</w:t>
            </w: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9</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游标卡尺现场抽测钢筋直径</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val="en-US"/>
              </w:rPr>
            </w:pP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混凝土结构工程施工规范</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GB50666-2011</w:t>
            </w:r>
            <w:r>
              <w:rPr>
                <w:rFonts w:hint="eastAsia" w:ascii="黑体" w:hAnsi="黑体" w:eastAsia="黑体" w:cs="黑体"/>
                <w:b w:val="0"/>
                <w:bCs w:val="0"/>
                <w:color w:val="000000"/>
                <w:sz w:val="24"/>
                <w:szCs w:val="24"/>
                <w:lang w:val="en-US" w:eastAsia="zh-CN"/>
              </w:rPr>
              <w:t>第10.1：结构实体检验。</w:t>
            </w:r>
          </w:p>
        </w:tc>
        <w:tc>
          <w:tcPr>
            <w:tcW w:w="441" w:type="pct"/>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1"/>
                <w:szCs w:val="21"/>
                <w:lang w:val="en-US" w:eastAsia="zh-CN"/>
              </w:rPr>
            </w:pPr>
            <w:r>
              <w:rPr>
                <w:rFonts w:hint="eastAsia" w:ascii="黑体" w:hAnsi="黑体" w:eastAsia="黑体" w:cs="黑体"/>
                <w:b w:val="0"/>
                <w:bCs w:val="0"/>
                <w:color w:val="000000"/>
                <w:sz w:val="21"/>
                <w:szCs w:val="21"/>
                <w:lang w:val="en-US" w:eastAsia="zh-CN"/>
              </w:rPr>
              <w:t>钢筋型号：</w:t>
            </w: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1"/>
                <w:szCs w:val="21"/>
                <w:lang w:eastAsia="zh-CN"/>
              </w:rPr>
            </w:pPr>
            <w:r>
              <w:rPr>
                <w:rFonts w:hint="eastAsia" w:ascii="黑体" w:hAnsi="黑体" w:eastAsia="黑体" w:cs="黑体"/>
                <w:b w:val="0"/>
                <w:bCs w:val="0"/>
                <w:color w:val="000000"/>
                <w:sz w:val="21"/>
                <w:szCs w:val="21"/>
                <w:lang w:val="en-US" w:eastAsia="zh-CN"/>
              </w:rPr>
              <w:t>钢筋型号：</w:t>
            </w: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1"/>
                <w:szCs w:val="21"/>
                <w:lang w:eastAsia="zh-CN"/>
              </w:rPr>
            </w:pPr>
            <w:r>
              <w:rPr>
                <w:rFonts w:hint="eastAsia" w:ascii="黑体" w:hAnsi="黑体" w:eastAsia="黑体" w:cs="黑体"/>
                <w:b w:val="0"/>
                <w:bCs w:val="0"/>
                <w:color w:val="000000"/>
                <w:sz w:val="21"/>
                <w:szCs w:val="21"/>
                <w:lang w:val="en-US" w:eastAsia="zh-CN"/>
              </w:rPr>
              <w:t>钢筋型号：</w:t>
            </w: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1"/>
                <w:szCs w:val="21"/>
                <w:lang w:eastAsia="zh-CN"/>
              </w:rPr>
            </w:pPr>
            <w:r>
              <w:rPr>
                <w:rFonts w:hint="eastAsia" w:ascii="黑体" w:hAnsi="黑体" w:eastAsia="黑体" w:cs="黑体"/>
                <w:b w:val="0"/>
                <w:bCs w:val="0"/>
                <w:color w:val="000000"/>
                <w:sz w:val="21"/>
                <w:szCs w:val="21"/>
                <w:lang w:val="en-US" w:eastAsia="zh-CN"/>
              </w:rPr>
              <w:t>钢筋型号：</w:t>
            </w: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top"/>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1"/>
                <w:szCs w:val="21"/>
                <w:lang w:eastAsia="zh-CN"/>
              </w:rPr>
            </w:pPr>
            <w:r>
              <w:rPr>
                <w:rFonts w:hint="eastAsia" w:ascii="黑体" w:hAnsi="黑体" w:eastAsia="黑体" w:cs="黑体"/>
                <w:b w:val="0"/>
                <w:bCs w:val="0"/>
                <w:color w:val="000000"/>
                <w:sz w:val="21"/>
                <w:szCs w:val="21"/>
                <w:lang w:val="en-US" w:eastAsia="zh-CN"/>
              </w:rPr>
              <w:t>钢筋型号：</w:t>
            </w: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10</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钢筋扫描仪现场抽测钢筋位置、数量、保护层厚度</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val="en-US"/>
              </w:rPr>
            </w:pP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混凝土结构工程施工规范</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GB50666-2011</w:t>
            </w:r>
            <w:r>
              <w:rPr>
                <w:rFonts w:hint="eastAsia" w:ascii="黑体" w:hAnsi="黑体" w:eastAsia="黑体" w:cs="黑体"/>
                <w:b w:val="0"/>
                <w:bCs w:val="0"/>
                <w:color w:val="000000"/>
                <w:sz w:val="24"/>
                <w:szCs w:val="24"/>
                <w:lang w:val="en-US" w:eastAsia="zh-CN"/>
              </w:rPr>
              <w:t>第10.1：结构实体检验。</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1"/>
                <w:szCs w:val="21"/>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11★</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混凝土回弹仪现场抽测混凝土构件强度</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lang w:val="en-US" w:eastAsia="zh-CN"/>
              </w:rPr>
              <w:t>回弹推定值低于设计值一个标号以上，参考</w:t>
            </w:r>
            <w:r>
              <w:rPr>
                <w:rFonts w:hint="eastAsia" w:ascii="黑体" w:hAnsi="黑体" w:eastAsia="黑体" w:cs="黑体"/>
                <w:b w:val="0"/>
                <w:bCs w:val="0"/>
                <w:sz w:val="24"/>
                <w:szCs w:val="24"/>
              </w:rPr>
              <w:t>《混凝土结构工程施工质量验收规范》GB 50204-2015第7.4.1条:混凝土的强度等级必须符合设计要求。</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12★</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楼板厚度：使用厚度检测仪或钻孔现场抽测</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《混凝土结构</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》GB55008-2021第</w:t>
            </w:r>
            <w:r>
              <w:rPr>
                <w:rFonts w:hint="eastAsia" w:ascii="黑体" w:hAnsi="黑体" w:eastAsia="黑体" w:cs="黑体"/>
                <w:b w:val="0"/>
                <w:bCs w:val="0"/>
                <w:color w:val="000000"/>
                <w:sz w:val="24"/>
                <w:szCs w:val="24"/>
              </w:rPr>
              <w:t>5.1.5：混凝土结构的外观质量不应有严重缺陷及影响结构性能和使用功能的尺寸偏差</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13★</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混凝土构件尺寸偏差</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《混凝土结构</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》GB55008-2021第</w:t>
            </w:r>
            <w:r>
              <w:rPr>
                <w:rFonts w:hint="eastAsia" w:ascii="黑体" w:hAnsi="黑体" w:eastAsia="黑体" w:cs="黑体"/>
                <w:b w:val="0"/>
                <w:bCs w:val="0"/>
                <w:color w:val="000000"/>
                <w:sz w:val="24"/>
                <w:szCs w:val="24"/>
              </w:rPr>
              <w:t>5.1.5：混凝土结构的外观质量不应有严重缺陷及影响结构性能和使用功能的尺寸偏差。</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（四）其他</w:t>
            </w: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14★</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预制混凝土构件节点连接</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《混凝土结构</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》GB55008-2021第5.5.1：预制构件连接应符合设计要求，并应符合下列规定：1套筒灌浆连接接头应进行工艺检验和现场平行加工试件性能检验；灌浆应饱满密实。</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15</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钢结构安装节点连接</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val="en-US"/>
              </w:rPr>
            </w:pP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C0C0C"/>
                <w:sz w:val="24"/>
                <w:szCs w:val="24"/>
              </w:rPr>
              <w:t>钢结构工程施工质量验收标准</w:t>
            </w:r>
            <w:r>
              <w:rPr>
                <w:rFonts w:hint="eastAsia" w:ascii="黑体" w:hAnsi="黑体" w:eastAsia="黑体" w:cs="黑体"/>
                <w:b w:val="0"/>
                <w:bCs w:val="0"/>
                <w:color w:val="0C0C0C"/>
                <w:sz w:val="24"/>
                <w:szCs w:val="24"/>
                <w:lang w:eastAsia="zh-CN"/>
              </w:rPr>
              <w:t>》</w:t>
            </w:r>
            <w:r>
              <w:rPr>
                <w:rFonts w:hint="eastAsia" w:ascii="黑体" w:hAnsi="黑体" w:eastAsia="黑体" w:cs="黑体"/>
                <w:b w:val="0"/>
                <w:bCs w:val="0"/>
                <w:color w:val="0C0C0C"/>
                <w:sz w:val="24"/>
                <w:szCs w:val="24"/>
              </w:rPr>
              <w:t>GB 50205-2020</w:t>
            </w:r>
            <w:r>
              <w:rPr>
                <w:rFonts w:hint="eastAsia" w:ascii="黑体" w:hAnsi="黑体" w:eastAsia="黑体" w:cs="黑体"/>
                <w:b w:val="0"/>
                <w:bCs w:val="0"/>
                <w:color w:val="0C0C0C"/>
                <w:sz w:val="24"/>
                <w:szCs w:val="24"/>
                <w:lang w:val="en-US" w:eastAsia="zh-CN"/>
              </w:rPr>
              <w:t>第</w:t>
            </w:r>
            <w:r>
              <w:rPr>
                <w:rFonts w:hint="eastAsia" w:ascii="黑体" w:hAnsi="黑体" w:eastAsia="黑体" w:cs="黑体"/>
                <w:b w:val="0"/>
                <w:bCs w:val="0"/>
                <w:color w:val="0C0C0C"/>
                <w:sz w:val="24"/>
                <w:szCs w:val="24"/>
              </w:rPr>
              <w:t>5.2.7</w:t>
            </w:r>
            <w:r>
              <w:rPr>
                <w:rFonts w:hint="eastAsia" w:ascii="黑体" w:hAnsi="黑体" w:eastAsia="黑体" w:cs="黑体"/>
                <w:b w:val="0"/>
                <w:bCs w:val="0"/>
                <w:color w:val="0C0C0C"/>
                <w:sz w:val="24"/>
                <w:szCs w:val="24"/>
                <w:lang w:eastAsia="zh-CN"/>
              </w:rPr>
              <w:t>：</w:t>
            </w:r>
            <w:r>
              <w:rPr>
                <w:rFonts w:hint="eastAsia" w:ascii="黑体" w:hAnsi="黑体" w:eastAsia="黑体" w:cs="黑体"/>
                <w:b w:val="0"/>
                <w:bCs w:val="0"/>
                <w:color w:val="0C0C0C"/>
                <w:sz w:val="24"/>
                <w:szCs w:val="24"/>
              </w:rPr>
              <w:t>焊缝外观质量应符合表5.2.7-1和表5.2.7-2的规定。</w:t>
            </w:r>
            <w:r>
              <w:rPr>
                <w:rFonts w:hint="eastAsia" w:ascii="黑体" w:hAnsi="黑体" w:eastAsia="黑体" w:cs="黑体"/>
                <w:b w:val="0"/>
                <w:bCs w:val="0"/>
                <w:color w:val="0C0C0C"/>
                <w:sz w:val="24"/>
                <w:szCs w:val="24"/>
                <w:lang w:eastAsia="zh-CN"/>
              </w:rPr>
              <w:t>（不</w:t>
            </w:r>
            <w:r>
              <w:rPr>
                <w:rFonts w:hint="eastAsia" w:ascii="黑体" w:hAnsi="黑体" w:eastAsia="黑体" w:cs="黑体"/>
                <w:b w:val="0"/>
                <w:bCs w:val="0"/>
                <w:color w:val="0C0C0C"/>
                <w:sz w:val="24"/>
                <w:szCs w:val="24"/>
                <w:lang w:val="en-US" w:eastAsia="zh-CN"/>
              </w:rPr>
              <w:t>允许存在裂缝、咬边、根部收缩、表面气孔等</w:t>
            </w:r>
            <w:r>
              <w:rPr>
                <w:rFonts w:hint="eastAsia" w:ascii="黑体" w:hAnsi="黑体" w:eastAsia="黑体" w:cs="黑体"/>
                <w:b w:val="0"/>
                <w:bCs w:val="0"/>
                <w:color w:val="0C0C0C"/>
                <w:sz w:val="24"/>
                <w:szCs w:val="24"/>
                <w:lang w:eastAsia="zh-CN"/>
              </w:rPr>
              <w:t>）；</w:t>
            </w:r>
            <w:r>
              <w:rPr>
                <w:rFonts w:hint="eastAsia" w:ascii="黑体" w:hAnsi="黑体" w:eastAsia="黑体" w:cs="黑体"/>
                <w:b w:val="0"/>
                <w:bCs w:val="0"/>
                <w:color w:val="0C0C0C"/>
                <w:sz w:val="24"/>
                <w:szCs w:val="24"/>
                <w:lang w:val="en-US" w:eastAsia="zh-CN"/>
              </w:rPr>
              <w:t>第</w:t>
            </w:r>
            <w:r>
              <w:rPr>
                <w:rFonts w:hint="eastAsia" w:ascii="黑体" w:hAnsi="黑体" w:eastAsia="黑体" w:cs="黑体"/>
                <w:b w:val="0"/>
                <w:bCs w:val="0"/>
                <w:color w:val="0C0C0C"/>
                <w:sz w:val="24"/>
                <w:szCs w:val="24"/>
                <w:lang w:eastAsia="zh-CN"/>
              </w:rPr>
              <w:t>6.2.3：永久性普通螺栓紧固应牢固、可靠，外露丝扣不应少于2扣；</w:t>
            </w:r>
            <w:r>
              <w:rPr>
                <w:rFonts w:hint="eastAsia" w:ascii="黑体" w:hAnsi="黑体" w:eastAsia="黑体" w:cs="黑体"/>
                <w:b w:val="0"/>
                <w:bCs w:val="0"/>
                <w:color w:val="0C0C0C"/>
                <w:sz w:val="24"/>
                <w:szCs w:val="24"/>
                <w:lang w:val="en-US" w:eastAsia="zh-CN"/>
              </w:rPr>
              <w:t>第</w:t>
            </w:r>
            <w:r>
              <w:rPr>
                <w:rFonts w:hint="eastAsia" w:ascii="黑体" w:hAnsi="黑体" w:eastAsia="黑体" w:cs="黑体"/>
                <w:b w:val="0"/>
                <w:bCs w:val="0"/>
                <w:color w:val="0C0C0C"/>
                <w:sz w:val="24"/>
                <w:szCs w:val="24"/>
                <w:lang w:eastAsia="zh-CN"/>
              </w:rPr>
              <w:t>6.3.6：高强度螺栓连接副终拧后，螺栓丝扣外露应为2扣～3扣，其中允许有10%的螺栓丝扣外露1扣或4扣。</w:t>
            </w:r>
            <w:r>
              <w:rPr>
                <w:rFonts w:hint="eastAsia" w:ascii="黑体" w:hAnsi="黑体" w:eastAsia="黑体" w:cs="黑体"/>
                <w:b w:val="0"/>
                <w:bCs w:val="0"/>
                <w:color w:val="0C0C0C"/>
                <w:sz w:val="24"/>
                <w:szCs w:val="24"/>
                <w:lang w:val="en-US" w:eastAsia="zh-CN"/>
              </w:rPr>
              <w:t>第6.3.7：高强度螺栓连接摩擦面应保持干燥、整洁，不应有飞边、毛刺、焊接飞溅物、焊疤、氧化铁皮、污垢等，除设计要求外摩擦面不应涂漆。</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16★</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防水工程施工质量（重点检查）</w:t>
            </w:r>
          </w:p>
        </w:tc>
        <w:tc>
          <w:tcPr>
            <w:tcW w:w="1857" w:type="pct"/>
            <w:vMerge w:val="restart"/>
            <w:vAlign w:val="center"/>
          </w:tcPr>
          <w:p>
            <w:pPr>
              <w:jc w:val="left"/>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《建筑与市政工程防水</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w:t>
            </w:r>
            <w:r>
              <w:rPr>
                <w:rFonts w:hint="eastAsia" w:ascii="黑体" w:hAnsi="黑体" w:eastAsia="黑体" w:cs="黑体"/>
                <w:b w:val="0"/>
                <w:bCs w:val="0"/>
                <w:sz w:val="24"/>
                <w:szCs w:val="24"/>
                <w:lang w:eastAsia="zh-CN"/>
              </w:rPr>
              <w:t>GB</w:t>
            </w:r>
            <w:r>
              <w:rPr>
                <w:rFonts w:hint="eastAsia" w:ascii="黑体" w:hAnsi="黑体" w:eastAsia="黑体" w:cs="黑体"/>
                <w:b w:val="0"/>
                <w:bCs w:val="0"/>
                <w:sz w:val="24"/>
                <w:szCs w:val="24"/>
              </w:rPr>
              <w:t>55030-2022第6.0.3条：防水工程质量检验合格判定标准应符合表6.0.3的规定</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地下工程：甲：不应有渗水，结构背面无湿渍；乙类：不应有滴漏、线漏，结构背水面可有零星分布的湿渍；丙类：不应有线流、漏泥砂，结构背水面可有少量湿渍、流挂或滴漏。屋面工程：不应有渗水、结构背面无湿渍。</w:t>
            </w:r>
          </w:p>
        </w:tc>
        <w:tc>
          <w:tcPr>
            <w:tcW w:w="441" w:type="pct"/>
            <w:vAlign w:val="center"/>
          </w:tcPr>
          <w:p>
            <w:pPr>
              <w:jc w:val="left"/>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jc w:val="left"/>
              <w:rPr>
                <w:rFonts w:hint="eastAsia" w:ascii="黑体" w:hAnsi="黑体" w:eastAsia="黑体" w:cs="黑体"/>
                <w:b w:val="0"/>
                <w:bCs w:val="0"/>
                <w:sz w:val="24"/>
                <w:szCs w:val="24"/>
              </w:rPr>
            </w:pPr>
          </w:p>
        </w:tc>
        <w:tc>
          <w:tcPr>
            <w:tcW w:w="197" w:type="pct"/>
            <w:vMerge w:val="continue"/>
            <w:vAlign w:val="center"/>
          </w:tcPr>
          <w:p>
            <w:pPr>
              <w:jc w:val="left"/>
              <w:rPr>
                <w:rFonts w:hint="eastAsia" w:ascii="黑体" w:hAnsi="黑体" w:eastAsia="黑体" w:cs="黑体"/>
                <w:b w:val="0"/>
                <w:bCs w:val="0"/>
                <w:sz w:val="24"/>
                <w:szCs w:val="24"/>
              </w:rPr>
            </w:pPr>
          </w:p>
        </w:tc>
        <w:tc>
          <w:tcPr>
            <w:tcW w:w="579" w:type="pct"/>
            <w:vMerge w:val="continue"/>
            <w:vAlign w:val="center"/>
          </w:tcPr>
          <w:p>
            <w:pPr>
              <w:jc w:val="left"/>
              <w:rPr>
                <w:rFonts w:hint="eastAsia" w:ascii="黑体" w:hAnsi="黑体" w:eastAsia="黑体" w:cs="黑体"/>
                <w:b w:val="0"/>
                <w:bCs w:val="0"/>
                <w:sz w:val="24"/>
                <w:szCs w:val="24"/>
              </w:rPr>
            </w:pPr>
          </w:p>
        </w:tc>
        <w:tc>
          <w:tcPr>
            <w:tcW w:w="1857" w:type="pct"/>
            <w:vMerge w:val="continue"/>
            <w:vAlign w:val="center"/>
          </w:tcPr>
          <w:p>
            <w:pPr>
              <w:jc w:val="left"/>
              <w:rPr>
                <w:rFonts w:hint="eastAsia" w:ascii="黑体" w:hAnsi="黑体" w:eastAsia="黑体" w:cs="黑体"/>
                <w:b w:val="0"/>
                <w:bCs w:val="0"/>
                <w:sz w:val="24"/>
                <w:szCs w:val="24"/>
              </w:rPr>
            </w:pPr>
          </w:p>
        </w:tc>
        <w:tc>
          <w:tcPr>
            <w:tcW w:w="441" w:type="pct"/>
            <w:vAlign w:val="center"/>
          </w:tcPr>
          <w:p>
            <w:pPr>
              <w:jc w:val="left"/>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jc w:val="left"/>
              <w:rPr>
                <w:rFonts w:hint="eastAsia" w:ascii="黑体" w:hAnsi="黑体" w:eastAsia="黑体" w:cs="黑体"/>
                <w:b w:val="0"/>
                <w:bCs w:val="0"/>
                <w:sz w:val="24"/>
                <w:szCs w:val="24"/>
              </w:rPr>
            </w:pPr>
          </w:p>
        </w:tc>
        <w:tc>
          <w:tcPr>
            <w:tcW w:w="197" w:type="pct"/>
            <w:vMerge w:val="continue"/>
            <w:vAlign w:val="center"/>
          </w:tcPr>
          <w:p>
            <w:pPr>
              <w:jc w:val="left"/>
              <w:rPr>
                <w:rFonts w:hint="eastAsia" w:ascii="黑体" w:hAnsi="黑体" w:eastAsia="黑体" w:cs="黑体"/>
                <w:b w:val="0"/>
                <w:bCs w:val="0"/>
                <w:sz w:val="24"/>
                <w:szCs w:val="24"/>
              </w:rPr>
            </w:pPr>
          </w:p>
        </w:tc>
        <w:tc>
          <w:tcPr>
            <w:tcW w:w="579" w:type="pct"/>
            <w:vMerge w:val="continue"/>
            <w:vAlign w:val="center"/>
          </w:tcPr>
          <w:p>
            <w:pPr>
              <w:jc w:val="left"/>
              <w:rPr>
                <w:rFonts w:hint="eastAsia" w:ascii="黑体" w:hAnsi="黑体" w:eastAsia="黑体" w:cs="黑体"/>
                <w:b w:val="0"/>
                <w:bCs w:val="0"/>
                <w:sz w:val="24"/>
                <w:szCs w:val="24"/>
              </w:rPr>
            </w:pPr>
          </w:p>
        </w:tc>
        <w:tc>
          <w:tcPr>
            <w:tcW w:w="1857" w:type="pct"/>
            <w:vMerge w:val="continue"/>
            <w:vAlign w:val="center"/>
          </w:tcPr>
          <w:p>
            <w:pPr>
              <w:jc w:val="left"/>
              <w:rPr>
                <w:rFonts w:hint="eastAsia" w:ascii="黑体" w:hAnsi="黑体" w:eastAsia="黑体" w:cs="黑体"/>
                <w:b w:val="0"/>
                <w:bCs w:val="0"/>
                <w:sz w:val="24"/>
                <w:szCs w:val="24"/>
              </w:rPr>
            </w:pPr>
          </w:p>
        </w:tc>
        <w:tc>
          <w:tcPr>
            <w:tcW w:w="441" w:type="pct"/>
            <w:vAlign w:val="center"/>
          </w:tcPr>
          <w:p>
            <w:pPr>
              <w:jc w:val="left"/>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jc w:val="left"/>
              <w:rPr>
                <w:rFonts w:hint="eastAsia" w:ascii="黑体" w:hAnsi="黑体" w:eastAsia="黑体" w:cs="黑体"/>
                <w:b w:val="0"/>
                <w:bCs w:val="0"/>
                <w:sz w:val="24"/>
                <w:szCs w:val="24"/>
              </w:rPr>
            </w:pPr>
          </w:p>
        </w:tc>
        <w:tc>
          <w:tcPr>
            <w:tcW w:w="197" w:type="pct"/>
            <w:vMerge w:val="continue"/>
            <w:vAlign w:val="center"/>
          </w:tcPr>
          <w:p>
            <w:pPr>
              <w:jc w:val="left"/>
              <w:rPr>
                <w:rFonts w:hint="eastAsia" w:ascii="黑体" w:hAnsi="黑体" w:eastAsia="黑体" w:cs="黑体"/>
                <w:b w:val="0"/>
                <w:bCs w:val="0"/>
                <w:sz w:val="24"/>
                <w:szCs w:val="24"/>
              </w:rPr>
            </w:pPr>
          </w:p>
        </w:tc>
        <w:tc>
          <w:tcPr>
            <w:tcW w:w="579" w:type="pct"/>
            <w:vMerge w:val="continue"/>
            <w:vAlign w:val="center"/>
          </w:tcPr>
          <w:p>
            <w:pPr>
              <w:jc w:val="left"/>
              <w:rPr>
                <w:rFonts w:hint="eastAsia" w:ascii="黑体" w:hAnsi="黑体" w:eastAsia="黑体" w:cs="黑体"/>
                <w:b w:val="0"/>
                <w:bCs w:val="0"/>
                <w:sz w:val="24"/>
                <w:szCs w:val="24"/>
              </w:rPr>
            </w:pPr>
          </w:p>
        </w:tc>
        <w:tc>
          <w:tcPr>
            <w:tcW w:w="1857" w:type="pct"/>
            <w:vMerge w:val="continue"/>
            <w:vAlign w:val="center"/>
          </w:tcPr>
          <w:p>
            <w:pPr>
              <w:jc w:val="left"/>
              <w:rPr>
                <w:rFonts w:hint="eastAsia" w:ascii="黑体" w:hAnsi="黑体" w:eastAsia="黑体" w:cs="黑体"/>
                <w:b w:val="0"/>
                <w:bCs w:val="0"/>
                <w:sz w:val="24"/>
                <w:szCs w:val="24"/>
              </w:rPr>
            </w:pPr>
          </w:p>
        </w:tc>
        <w:tc>
          <w:tcPr>
            <w:tcW w:w="441" w:type="pct"/>
            <w:vAlign w:val="center"/>
          </w:tcPr>
          <w:p>
            <w:pPr>
              <w:jc w:val="left"/>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jc w:val="left"/>
              <w:rPr>
                <w:rFonts w:hint="eastAsia" w:ascii="黑体" w:hAnsi="黑体" w:eastAsia="黑体" w:cs="黑体"/>
                <w:b w:val="0"/>
                <w:bCs w:val="0"/>
                <w:sz w:val="24"/>
                <w:szCs w:val="24"/>
              </w:rPr>
            </w:pPr>
          </w:p>
        </w:tc>
        <w:tc>
          <w:tcPr>
            <w:tcW w:w="197" w:type="pct"/>
            <w:vMerge w:val="continue"/>
            <w:vAlign w:val="center"/>
          </w:tcPr>
          <w:p>
            <w:pPr>
              <w:jc w:val="left"/>
              <w:rPr>
                <w:rFonts w:hint="eastAsia" w:ascii="黑体" w:hAnsi="黑体" w:eastAsia="黑体" w:cs="黑体"/>
                <w:b w:val="0"/>
                <w:bCs w:val="0"/>
                <w:sz w:val="24"/>
                <w:szCs w:val="24"/>
              </w:rPr>
            </w:pPr>
          </w:p>
        </w:tc>
        <w:tc>
          <w:tcPr>
            <w:tcW w:w="579" w:type="pct"/>
            <w:vMerge w:val="continue"/>
            <w:vAlign w:val="center"/>
          </w:tcPr>
          <w:p>
            <w:pPr>
              <w:jc w:val="left"/>
              <w:rPr>
                <w:rFonts w:hint="eastAsia" w:ascii="黑体" w:hAnsi="黑体" w:eastAsia="黑体" w:cs="黑体"/>
                <w:b w:val="0"/>
                <w:bCs w:val="0"/>
                <w:sz w:val="24"/>
                <w:szCs w:val="24"/>
              </w:rPr>
            </w:pPr>
          </w:p>
        </w:tc>
        <w:tc>
          <w:tcPr>
            <w:tcW w:w="1857" w:type="pct"/>
            <w:vMerge w:val="continue"/>
            <w:vAlign w:val="center"/>
          </w:tcPr>
          <w:p>
            <w:pPr>
              <w:jc w:val="left"/>
              <w:rPr>
                <w:rFonts w:hint="eastAsia" w:ascii="黑体" w:hAnsi="黑体" w:eastAsia="黑体" w:cs="黑体"/>
                <w:b w:val="0"/>
                <w:bCs w:val="0"/>
                <w:sz w:val="24"/>
                <w:szCs w:val="24"/>
              </w:rPr>
            </w:pPr>
          </w:p>
        </w:tc>
        <w:tc>
          <w:tcPr>
            <w:tcW w:w="441" w:type="pct"/>
            <w:vAlign w:val="center"/>
          </w:tcPr>
          <w:p>
            <w:pPr>
              <w:jc w:val="left"/>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rPr>
              <w:t>17</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rPr>
              <w:t>施工荷载控制：检查楼层及车库顶板堆载情况</w:t>
            </w:r>
          </w:p>
        </w:tc>
        <w:tc>
          <w:tcPr>
            <w:tcW w:w="1857" w:type="pct"/>
            <w:vMerge w:val="restart"/>
            <w:vAlign w:val="center"/>
          </w:tcPr>
          <w:p>
            <w:pPr>
              <w:keepNext w:val="0"/>
              <w:keepLines w:val="0"/>
              <w:widowControl/>
              <w:suppressLineNumbers w:val="0"/>
              <w:jc w:val="left"/>
              <w:rPr>
                <w:rFonts w:hint="eastAsia" w:ascii="黑体" w:hAnsi="黑体" w:eastAsia="黑体" w:cs="黑体"/>
                <w:b w:val="0"/>
                <w:bCs w:val="0"/>
                <w:color w:val="000000"/>
                <w:sz w:val="24"/>
                <w:szCs w:val="24"/>
              </w:rPr>
            </w:pPr>
            <w:r>
              <w:rPr>
                <w:rFonts w:hint="eastAsia" w:ascii="黑体" w:hAnsi="黑体" w:eastAsia="黑体" w:cs="黑体"/>
                <w:b w:val="0"/>
                <w:bCs w:val="0"/>
                <w:sz w:val="24"/>
                <w:szCs w:val="24"/>
                <w:lang w:val="en-US" w:eastAsia="zh-CN"/>
              </w:rPr>
              <w:t>《砌体结构工程施工质量验收规范》（GB50203- 2011）第</w:t>
            </w:r>
            <w:r>
              <w:rPr>
                <w:rFonts w:hint="eastAsia" w:ascii="黑体" w:hAnsi="黑体" w:eastAsia="黑体" w:cs="黑体"/>
                <w:b w:val="0"/>
                <w:bCs w:val="0"/>
                <w:sz w:val="24"/>
                <w:szCs w:val="24"/>
              </w:rPr>
              <w:t>3.0.18</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砌体施工时</w:t>
            </w:r>
            <w:r>
              <w:rPr>
                <w:rFonts w:hint="eastAsia" w:ascii="黑体" w:hAnsi="黑体" w:eastAsia="黑体" w:cs="黑体"/>
                <w:b w:val="0"/>
                <w:bCs w:val="0"/>
                <w:sz w:val="24"/>
                <w:szCs w:val="24"/>
                <w:lang w:eastAsia="zh-CN"/>
              </w:rPr>
              <w:t>，</w:t>
            </w:r>
            <w:r>
              <w:rPr>
                <w:rFonts w:hint="eastAsia" w:ascii="黑体" w:hAnsi="黑体" w:eastAsia="黑体" w:cs="黑体"/>
                <w:b w:val="0"/>
                <w:bCs w:val="0"/>
                <w:sz w:val="24"/>
                <w:szCs w:val="24"/>
              </w:rPr>
              <w:t>楼面和屋面堆载不得超过楼板的允许荷载值。当施工层进料口处施工荷载较大时，楼板下宜采取临时支撑措施。</w:t>
            </w:r>
          </w:p>
        </w:tc>
        <w:tc>
          <w:tcPr>
            <w:tcW w:w="441" w:type="pct"/>
            <w:vAlign w:val="center"/>
          </w:tcPr>
          <w:p>
            <w:pPr>
              <w:keepNext w:val="0"/>
              <w:keepLines w:val="0"/>
              <w:widowControl/>
              <w:suppressLineNumbers w:val="0"/>
              <w:jc w:val="left"/>
              <w:rPr>
                <w:rFonts w:hint="eastAsia" w:ascii="黑体" w:hAnsi="黑体" w:eastAsia="黑体" w:cs="黑体"/>
                <w:b w:val="0"/>
                <w:bCs w:val="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widowControl/>
              <w:suppressLineNumbers w:val="0"/>
              <w:jc w:val="left"/>
              <w:rPr>
                <w:rFonts w:hint="eastAsia" w:ascii="黑体" w:hAnsi="黑体" w:eastAsia="黑体" w:cs="黑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97"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579"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857"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441" w:type="pct"/>
            <w:vAlign w:val="center"/>
          </w:tcPr>
          <w:p>
            <w:pPr>
              <w:keepNext w:val="0"/>
              <w:keepLines w:val="0"/>
              <w:widowControl/>
              <w:suppressLineNumbers w:val="0"/>
              <w:jc w:val="left"/>
              <w:rPr>
                <w:rFonts w:hint="eastAsia" w:ascii="黑体" w:hAnsi="黑体" w:eastAsia="黑体" w:cs="黑体"/>
                <w:b w:val="0"/>
                <w:bCs w:val="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widowControl/>
              <w:suppressLineNumbers w:val="0"/>
              <w:jc w:val="left"/>
              <w:rPr>
                <w:rFonts w:hint="eastAsia" w:ascii="黑体" w:hAnsi="黑体" w:eastAsia="黑体" w:cs="黑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widowControl/>
              <w:suppressLineNumbers w:val="0"/>
              <w:jc w:val="left"/>
              <w:rPr>
                <w:rFonts w:hint="eastAsia" w:ascii="黑体" w:hAnsi="黑体" w:eastAsia="黑体" w:cs="黑体"/>
                <w:b w:val="0"/>
                <w:bCs w:val="0"/>
                <w:sz w:val="24"/>
                <w:szCs w:val="24"/>
                <w:lang w:val="en-US" w:eastAsia="zh-CN"/>
              </w:rPr>
            </w:pPr>
          </w:p>
        </w:tc>
        <w:tc>
          <w:tcPr>
            <w:tcW w:w="197" w:type="pct"/>
            <w:vMerge w:val="continue"/>
            <w:vAlign w:val="center"/>
          </w:tcPr>
          <w:p>
            <w:pPr>
              <w:keepNext w:val="0"/>
              <w:keepLines w:val="0"/>
              <w:widowControl/>
              <w:suppressLineNumbers w:val="0"/>
              <w:jc w:val="left"/>
              <w:rPr>
                <w:rFonts w:hint="eastAsia" w:ascii="黑体" w:hAnsi="黑体" w:eastAsia="黑体" w:cs="黑体"/>
                <w:b w:val="0"/>
                <w:bCs w:val="0"/>
                <w:sz w:val="24"/>
                <w:szCs w:val="24"/>
                <w:lang w:val="en-US" w:eastAsia="zh-CN"/>
              </w:rPr>
            </w:pPr>
          </w:p>
        </w:tc>
        <w:tc>
          <w:tcPr>
            <w:tcW w:w="579" w:type="pct"/>
            <w:vMerge w:val="continue"/>
            <w:vAlign w:val="center"/>
          </w:tcPr>
          <w:p>
            <w:pPr>
              <w:keepNext w:val="0"/>
              <w:keepLines w:val="0"/>
              <w:widowControl/>
              <w:suppressLineNumbers w:val="0"/>
              <w:jc w:val="left"/>
              <w:rPr>
                <w:rFonts w:hint="eastAsia" w:ascii="黑体" w:hAnsi="黑体" w:eastAsia="黑体" w:cs="黑体"/>
                <w:b w:val="0"/>
                <w:bCs w:val="0"/>
                <w:sz w:val="24"/>
                <w:szCs w:val="24"/>
                <w:lang w:val="en-US" w:eastAsia="zh-CN"/>
              </w:rPr>
            </w:pPr>
          </w:p>
        </w:tc>
        <w:tc>
          <w:tcPr>
            <w:tcW w:w="1857" w:type="pct"/>
            <w:vMerge w:val="continue"/>
            <w:vAlign w:val="center"/>
          </w:tcPr>
          <w:p>
            <w:pPr>
              <w:keepNext w:val="0"/>
              <w:keepLines w:val="0"/>
              <w:widowControl/>
              <w:suppressLineNumbers w:val="0"/>
              <w:jc w:val="left"/>
              <w:rPr>
                <w:rFonts w:hint="eastAsia" w:ascii="黑体" w:hAnsi="黑体" w:eastAsia="黑体" w:cs="黑体"/>
                <w:b w:val="0"/>
                <w:bCs w:val="0"/>
                <w:sz w:val="24"/>
                <w:szCs w:val="24"/>
                <w:lang w:val="en-US" w:eastAsia="zh-CN"/>
              </w:rPr>
            </w:pPr>
          </w:p>
        </w:tc>
        <w:tc>
          <w:tcPr>
            <w:tcW w:w="441" w:type="pct"/>
            <w:vAlign w:val="center"/>
          </w:tcPr>
          <w:p>
            <w:pPr>
              <w:keepNext w:val="0"/>
              <w:keepLines w:val="0"/>
              <w:widowControl/>
              <w:suppressLineNumbers w:val="0"/>
              <w:jc w:val="left"/>
              <w:rPr>
                <w:rFonts w:hint="eastAsia" w:ascii="黑体" w:hAnsi="黑体" w:eastAsia="黑体" w:cs="黑体"/>
                <w:b w:val="0"/>
                <w:bCs w:val="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widowControl/>
              <w:suppressLineNumbers w:val="0"/>
              <w:jc w:val="left"/>
              <w:rPr>
                <w:rFonts w:hint="eastAsia" w:ascii="黑体" w:hAnsi="黑体" w:eastAsia="黑体" w:cs="黑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18</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二次结构钢筋、构造柱设置</w:t>
            </w:r>
          </w:p>
        </w:tc>
        <w:tc>
          <w:tcPr>
            <w:tcW w:w="1857" w:type="pct"/>
            <w:vMerge w:val="restar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kern w:val="2"/>
                <w:sz w:val="24"/>
                <w:szCs w:val="24"/>
                <w:lang w:val="en-US" w:eastAsia="zh-CN" w:bidi="ar-SA"/>
              </w:rPr>
              <w:t>《建筑与市政工程抗震通用规范》GB55002-2021第5.1.14条1款：采用砌体墙时，应设置拉结筋、水平系梁、圈梁、构造柱等与主体结构可靠拉结。</w:t>
            </w:r>
          </w:p>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color w:val="000000"/>
                <w:sz w:val="24"/>
                <w:szCs w:val="24"/>
              </w:rPr>
            </w:pPr>
            <w:r>
              <w:rPr>
                <w:rFonts w:hint="eastAsia" w:ascii="黑体" w:hAnsi="黑体" w:eastAsia="黑体" w:cs="黑体"/>
                <w:b w:val="0"/>
                <w:bCs w:val="0"/>
                <w:kern w:val="2"/>
                <w:sz w:val="24"/>
                <w:szCs w:val="24"/>
                <w:lang w:val="en-US" w:eastAsia="zh-CN" w:bidi="ar-SA"/>
              </w:rPr>
              <w:t>《砌体结构通用规范》GB55007-2021第5.1.9条：砌体与构造柱的连接处以及砌体抗震墙与框架柱的连接处均应采用先砌墙后浇柱的施工顺序，并应按要求设置拉结钢筋；砖砌体与构造柱的连接处应砌成马牙槎。</w:t>
            </w:r>
          </w:p>
        </w:tc>
        <w:tc>
          <w:tcPr>
            <w:tcW w:w="44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sz w:val="24"/>
                <w:szCs w:val="24"/>
              </w:rPr>
            </w:pPr>
          </w:p>
        </w:tc>
        <w:tc>
          <w:tcPr>
            <w:tcW w:w="44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19</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保温工程</w:t>
            </w:r>
            <w:r>
              <w:rPr>
                <w:rFonts w:hint="eastAsia" w:ascii="黑体" w:hAnsi="黑体" w:eastAsia="黑体" w:cs="黑体"/>
                <w:b w:val="0"/>
                <w:bCs w:val="0"/>
                <w:color w:val="0C0C0C"/>
                <w:sz w:val="24"/>
                <w:szCs w:val="24"/>
              </w:rPr>
              <w:t>施工质量（重点检查）</w:t>
            </w:r>
          </w:p>
        </w:tc>
        <w:tc>
          <w:tcPr>
            <w:tcW w:w="1857" w:type="pct"/>
            <w:vMerge w:val="restar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00000"/>
                <w:sz w:val="24"/>
                <w:szCs w:val="24"/>
              </w:rPr>
            </w:pPr>
            <w:r>
              <w:rPr>
                <w:rFonts w:hint="eastAsia" w:ascii="黑体" w:hAnsi="黑体" w:eastAsia="黑体" w:cs="黑体"/>
                <w:b w:val="0"/>
                <w:bCs w:val="0"/>
                <w:kern w:val="2"/>
                <w:sz w:val="24"/>
                <w:szCs w:val="24"/>
                <w:lang w:val="en-US" w:eastAsia="zh-CN" w:bidi="ar-SA"/>
              </w:rPr>
              <w:t>《建筑节能与可再生能源利用通用规范》GB55015-2021第6.2.4 墙体、屋面和地面节能工程的施工质量，应符合下列规定：1保温隔热材料的厚度不得低于设计要求；2墙体保温板材与基层之间及各构造层之间的粘结或连接必须牢固；保温板材与基层的连接方式。拉伸粘结强度和粘结面积比应符合设计要求；保温板材与基层之间的拉伸粘结强度应进行现场拉拔试验，且不得在界面破环；粘结面积比应进行剥离检验；3当墙体采用保温浆料做外保温时，厚度大于20mm的保温浆料应分层施工；保温浆料与基层之间及各层之间的粘结必须牢固，不应脱层、空鼓和开裂；4当保温层采用锚固件固定时，锚固件数量、位置、锚固深度、胶结材料性能和锚固力应符合设计和施工方案的要求；5保温装饰板的装饰面板应使用锚固件可靠固定，锚固力应做现场拉拔试验；保温装饰板板缝不得渗漏。</w:t>
            </w: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（五）原材料、成品、半成品、构配件</w:t>
            </w: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20</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预拌混凝土</w:t>
            </w:r>
          </w:p>
        </w:tc>
        <w:tc>
          <w:tcPr>
            <w:tcW w:w="1857" w:type="pct"/>
            <w:vMerge w:val="restart"/>
          </w:tcPr>
          <w:p>
            <w:pPr>
              <w:keepNext w:val="0"/>
              <w:keepLines w:val="0"/>
              <w:widowControl/>
              <w:suppressLineNumbers w:val="0"/>
              <w:jc w:val="left"/>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《混凝土结构工程施工质量验收规范》GB 50204-2015第</w:t>
            </w:r>
            <w:r>
              <w:rPr>
                <w:rFonts w:hint="eastAsia" w:ascii="黑体" w:hAnsi="黑体" w:eastAsia="黑体" w:cs="黑体"/>
                <w:b w:val="0"/>
                <w:bCs w:val="0"/>
                <w:kern w:val="2"/>
                <w:sz w:val="24"/>
                <w:szCs w:val="24"/>
                <w:lang w:val="en-US" w:eastAsia="zh-CN" w:bidi="ar-SA"/>
              </w:rPr>
              <w:t>7.3.1：预拌混凝土进场时，其质量应符合现行国家标准《预拌混凝土》GB/T14902的规定。检验方法：检查质量证明文件。</w:t>
            </w:r>
          </w:p>
        </w:tc>
        <w:tc>
          <w:tcPr>
            <w:tcW w:w="441" w:type="pct"/>
          </w:tcPr>
          <w:p>
            <w:pPr>
              <w:keepNext w:val="0"/>
              <w:keepLines w:val="0"/>
              <w:widowControl/>
              <w:suppressLineNumbers w:val="0"/>
              <w:jc w:val="left"/>
              <w:rPr>
                <w:rFonts w:hint="eastAsia" w:ascii="黑体" w:hAnsi="黑体" w:eastAsia="黑体" w:cs="黑体"/>
                <w:b w:val="0"/>
                <w:bCs w:val="0"/>
                <w:color w:val="00000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auto"/>
                <w:sz w:val="24"/>
                <w:szCs w:val="24"/>
              </w:rPr>
              <w:t>□不符合</w:t>
            </w:r>
          </w:p>
        </w:tc>
        <w:tc>
          <w:tcPr>
            <w:tcW w:w="1182" w:type="pct"/>
          </w:tcPr>
          <w:p>
            <w:pPr>
              <w:keepNext w:val="0"/>
              <w:keepLines w:val="0"/>
              <w:widowControl/>
              <w:suppressLineNumbers w:val="0"/>
              <w:jc w:val="left"/>
              <w:rPr>
                <w:rFonts w:hint="eastAsia" w:ascii="黑体" w:hAnsi="黑体" w:eastAsia="黑体" w:cs="黑体"/>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97"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579"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857" w:type="pct"/>
            <w:vMerge w:val="continue"/>
          </w:tcPr>
          <w:p>
            <w:pPr>
              <w:keepNext w:val="0"/>
              <w:keepLines w:val="0"/>
              <w:widowControl/>
              <w:suppressLineNumbers w:val="0"/>
              <w:jc w:val="left"/>
              <w:rPr>
                <w:rFonts w:hint="eastAsia" w:ascii="黑体" w:hAnsi="黑体" w:eastAsia="黑体" w:cs="黑体"/>
                <w:b w:val="0"/>
                <w:bCs w:val="0"/>
                <w:sz w:val="24"/>
                <w:szCs w:val="24"/>
              </w:rPr>
            </w:pPr>
          </w:p>
        </w:tc>
        <w:tc>
          <w:tcPr>
            <w:tcW w:w="441" w:type="pct"/>
          </w:tcPr>
          <w:p>
            <w:pPr>
              <w:keepNext w:val="0"/>
              <w:keepLines w:val="0"/>
              <w:widowControl/>
              <w:suppressLineNumbers w:val="0"/>
              <w:jc w:val="left"/>
              <w:rPr>
                <w:rFonts w:hint="eastAsia" w:ascii="黑体" w:hAnsi="黑体" w:eastAsia="黑体" w:cs="黑体"/>
                <w:b w:val="0"/>
                <w:bCs w:val="0"/>
                <w:color w:val="00000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auto"/>
                <w:sz w:val="24"/>
                <w:szCs w:val="24"/>
              </w:rPr>
              <w:t>□不符合</w:t>
            </w:r>
          </w:p>
        </w:tc>
        <w:tc>
          <w:tcPr>
            <w:tcW w:w="1182" w:type="pct"/>
          </w:tcPr>
          <w:p>
            <w:pPr>
              <w:keepNext w:val="0"/>
              <w:keepLines w:val="0"/>
              <w:widowControl/>
              <w:suppressLineNumbers w:val="0"/>
              <w:jc w:val="left"/>
              <w:rPr>
                <w:rFonts w:hint="eastAsia" w:ascii="黑体" w:hAnsi="黑体" w:eastAsia="黑体" w:cs="黑体"/>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widowControl/>
              <w:suppressLineNumbers w:val="0"/>
              <w:jc w:val="left"/>
              <w:rPr>
                <w:rFonts w:hint="eastAsia" w:ascii="黑体" w:hAnsi="黑体" w:eastAsia="黑体" w:cs="黑体"/>
                <w:b w:val="0"/>
                <w:bCs w:val="0"/>
                <w:color w:val="000000"/>
                <w:sz w:val="24"/>
                <w:szCs w:val="24"/>
              </w:rPr>
            </w:pPr>
          </w:p>
        </w:tc>
        <w:tc>
          <w:tcPr>
            <w:tcW w:w="197" w:type="pct"/>
            <w:vMerge w:val="continue"/>
            <w:vAlign w:val="center"/>
          </w:tcPr>
          <w:p>
            <w:pPr>
              <w:keepNext w:val="0"/>
              <w:keepLines w:val="0"/>
              <w:widowControl/>
              <w:suppressLineNumbers w:val="0"/>
              <w:jc w:val="left"/>
              <w:rPr>
                <w:rFonts w:hint="eastAsia" w:ascii="黑体" w:hAnsi="黑体" w:eastAsia="黑体" w:cs="黑体"/>
                <w:b w:val="0"/>
                <w:bCs w:val="0"/>
                <w:color w:val="000000"/>
                <w:sz w:val="24"/>
                <w:szCs w:val="24"/>
              </w:rPr>
            </w:pPr>
          </w:p>
        </w:tc>
        <w:tc>
          <w:tcPr>
            <w:tcW w:w="579" w:type="pct"/>
            <w:vMerge w:val="continue"/>
            <w:vAlign w:val="center"/>
          </w:tcPr>
          <w:p>
            <w:pPr>
              <w:keepNext w:val="0"/>
              <w:keepLines w:val="0"/>
              <w:widowControl/>
              <w:suppressLineNumbers w:val="0"/>
              <w:jc w:val="left"/>
              <w:rPr>
                <w:rFonts w:hint="eastAsia" w:ascii="黑体" w:hAnsi="黑体" w:eastAsia="黑体" w:cs="黑体"/>
                <w:b w:val="0"/>
                <w:bCs w:val="0"/>
                <w:color w:val="000000"/>
                <w:sz w:val="24"/>
                <w:szCs w:val="24"/>
              </w:rPr>
            </w:pPr>
          </w:p>
        </w:tc>
        <w:tc>
          <w:tcPr>
            <w:tcW w:w="1857" w:type="pct"/>
            <w:vMerge w:val="continue"/>
          </w:tcPr>
          <w:p>
            <w:pPr>
              <w:keepNext w:val="0"/>
              <w:keepLines w:val="0"/>
              <w:widowControl/>
              <w:suppressLineNumbers w:val="0"/>
              <w:jc w:val="left"/>
              <w:rPr>
                <w:rFonts w:hint="eastAsia" w:ascii="黑体" w:hAnsi="黑体" w:eastAsia="黑体" w:cs="黑体"/>
                <w:b w:val="0"/>
                <w:bCs w:val="0"/>
                <w:color w:val="000000"/>
                <w:sz w:val="24"/>
                <w:szCs w:val="24"/>
              </w:rPr>
            </w:pPr>
          </w:p>
        </w:tc>
        <w:tc>
          <w:tcPr>
            <w:tcW w:w="441" w:type="pct"/>
          </w:tcPr>
          <w:p>
            <w:pPr>
              <w:keepNext w:val="0"/>
              <w:keepLines w:val="0"/>
              <w:widowControl/>
              <w:suppressLineNumbers w:val="0"/>
              <w:jc w:val="left"/>
              <w:rPr>
                <w:rFonts w:hint="eastAsia" w:ascii="黑体" w:hAnsi="黑体" w:eastAsia="黑体" w:cs="黑体"/>
                <w:b w:val="0"/>
                <w:bCs w:val="0"/>
                <w:color w:val="00000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auto"/>
                <w:sz w:val="24"/>
                <w:szCs w:val="24"/>
              </w:rPr>
              <w:t>□不符合</w:t>
            </w:r>
          </w:p>
        </w:tc>
        <w:tc>
          <w:tcPr>
            <w:tcW w:w="1182" w:type="pct"/>
          </w:tcPr>
          <w:p>
            <w:pPr>
              <w:keepNext w:val="0"/>
              <w:keepLines w:val="0"/>
              <w:widowControl/>
              <w:suppressLineNumbers w:val="0"/>
              <w:jc w:val="left"/>
              <w:rPr>
                <w:rFonts w:hint="eastAsia" w:ascii="黑体" w:hAnsi="黑体" w:eastAsia="黑体" w:cs="黑体"/>
                <w:b w:val="0"/>
                <w:bCs w:val="0"/>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21</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钢筋及机械连接材料</w:t>
            </w:r>
          </w:p>
        </w:tc>
        <w:tc>
          <w:tcPr>
            <w:tcW w:w="1857" w:type="pct"/>
            <w:vMerge w:val="restar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混凝土结构工程施工规范</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GB50666-2011</w:t>
            </w:r>
            <w:r>
              <w:rPr>
                <w:rFonts w:hint="eastAsia" w:ascii="黑体" w:hAnsi="黑体" w:eastAsia="黑体" w:cs="黑体"/>
                <w:b w:val="0"/>
                <w:bCs w:val="0"/>
                <w:color w:val="000000"/>
                <w:sz w:val="24"/>
                <w:szCs w:val="24"/>
                <w:lang w:val="en-US" w:eastAsia="zh-CN"/>
              </w:rPr>
              <w:t>第</w:t>
            </w:r>
            <w:r>
              <w:rPr>
                <w:rFonts w:hint="eastAsia" w:ascii="黑体" w:hAnsi="黑体" w:eastAsia="黑体" w:cs="黑体"/>
                <w:b w:val="0"/>
                <w:bCs w:val="0"/>
                <w:color w:val="000000"/>
                <w:sz w:val="24"/>
                <w:szCs w:val="24"/>
              </w:rPr>
              <w:t>5.5.1钢筋进场检查应符合下列规定：1应检查钢筋的质量证明文件</w:t>
            </w:r>
            <w:r>
              <w:rPr>
                <w:rFonts w:hint="eastAsia" w:ascii="黑体" w:hAnsi="黑体" w:eastAsia="黑体" w:cs="黑体"/>
                <w:b w:val="0"/>
                <w:bCs w:val="0"/>
                <w:color w:val="000000"/>
                <w:sz w:val="24"/>
                <w:szCs w:val="24"/>
                <w:lang w:eastAsia="zh-CN"/>
              </w:rPr>
              <w:t>。</w:t>
            </w:r>
          </w:p>
        </w:tc>
        <w:tc>
          <w:tcPr>
            <w:tcW w:w="441"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22</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钢结构用钢材及焊接、紧固件连接材料</w:t>
            </w:r>
          </w:p>
        </w:tc>
        <w:tc>
          <w:tcPr>
            <w:tcW w:w="1857" w:type="pct"/>
            <w:vMerge w:val="restar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000000"/>
                <w:sz w:val="24"/>
                <w:szCs w:val="24"/>
                <w:lang w:val="en-US" w:eastAsia="zh-CN"/>
              </w:rPr>
              <w:t>《钢结构工程施工规范》GB 50775-2012 第5.1.2：钢结构工程所用的材料应符合设计文件和国家现行有关标准的规定，应具有质量合格证明文件，并应经进场检验合格后使用。</w:t>
            </w:r>
          </w:p>
        </w:tc>
        <w:tc>
          <w:tcPr>
            <w:tcW w:w="441"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auto"/>
                <w:sz w:val="24"/>
                <w:szCs w:val="24"/>
              </w:rPr>
              <w:t>□不符合</w:t>
            </w:r>
          </w:p>
        </w:tc>
        <w:tc>
          <w:tcPr>
            <w:tcW w:w="1182"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97"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579"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857" w:type="pct"/>
            <w:vMerge w:val="continue"/>
          </w:tcPr>
          <w:p>
            <w:pPr>
              <w:keepNext w:val="0"/>
              <w:keepLines w:val="0"/>
              <w:widowControl/>
              <w:suppressLineNumbers w:val="0"/>
              <w:jc w:val="left"/>
              <w:rPr>
                <w:rFonts w:hint="eastAsia" w:ascii="黑体" w:hAnsi="黑体" w:eastAsia="黑体" w:cs="黑体"/>
                <w:b w:val="0"/>
                <w:bCs w:val="0"/>
                <w:sz w:val="24"/>
                <w:szCs w:val="24"/>
              </w:rPr>
            </w:pPr>
          </w:p>
        </w:tc>
        <w:tc>
          <w:tcPr>
            <w:tcW w:w="441"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auto"/>
                <w:sz w:val="24"/>
                <w:szCs w:val="24"/>
              </w:rPr>
              <w:t>□不符合</w:t>
            </w:r>
          </w:p>
        </w:tc>
        <w:tc>
          <w:tcPr>
            <w:tcW w:w="1182"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197" w:type="pct"/>
            <w:vMerge w:val="continue"/>
            <w:vAlign w:val="center"/>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579" w:type="pct"/>
            <w:vMerge w:val="continue"/>
            <w:vAlign w:val="center"/>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1857" w:type="pct"/>
            <w:vMerge w:val="continue"/>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441"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auto"/>
                <w:sz w:val="24"/>
                <w:szCs w:val="24"/>
              </w:rPr>
              <w:t>□不符合</w:t>
            </w:r>
          </w:p>
        </w:tc>
        <w:tc>
          <w:tcPr>
            <w:tcW w:w="1182"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23</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装配式砼结构预制构件，预应力砼构件锚具、夹具</w:t>
            </w:r>
          </w:p>
        </w:tc>
        <w:tc>
          <w:tcPr>
            <w:tcW w:w="1857" w:type="pct"/>
            <w:vMerge w:val="restart"/>
          </w:tcPr>
          <w:p>
            <w:pPr>
              <w:keepNext w:val="0"/>
              <w:keepLines w:val="0"/>
              <w:widowControl/>
              <w:suppressLineNumbers w:val="0"/>
              <w:jc w:val="left"/>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000000"/>
                <w:sz w:val="24"/>
                <w:szCs w:val="24"/>
              </w:rPr>
              <w:t>《混凝土结构工程施工质量验收规范》GB 50204-2015第</w:t>
            </w:r>
            <w:r>
              <w:rPr>
                <w:rFonts w:hint="eastAsia" w:ascii="黑体" w:hAnsi="黑体" w:eastAsia="黑体" w:cs="黑体"/>
                <w:b w:val="0"/>
                <w:bCs w:val="0"/>
                <w:color w:val="000000"/>
                <w:sz w:val="24"/>
                <w:szCs w:val="24"/>
                <w:lang w:val="en-US" w:eastAsia="zh-CN"/>
              </w:rPr>
              <w:t>9.2.5：预制构件应有标识 ；9.2.6：预制构件的外观质量不应有一般缺陷。</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混凝土结构工程施工规范</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GB50666-2011</w:t>
            </w:r>
            <w:r>
              <w:rPr>
                <w:rFonts w:hint="eastAsia" w:ascii="黑体" w:hAnsi="黑体" w:eastAsia="黑体" w:cs="黑体"/>
                <w:b w:val="0"/>
                <w:bCs w:val="0"/>
                <w:color w:val="000000"/>
                <w:sz w:val="24"/>
                <w:szCs w:val="24"/>
                <w:lang w:val="en-US" w:eastAsia="zh-CN"/>
              </w:rPr>
              <w:t>第</w:t>
            </w:r>
            <w:r>
              <w:rPr>
                <w:rFonts w:hint="eastAsia" w:ascii="黑体" w:hAnsi="黑体" w:eastAsia="黑体" w:cs="黑体"/>
                <w:b w:val="0"/>
                <w:bCs w:val="0"/>
                <w:color w:val="000000"/>
                <w:sz w:val="24"/>
                <w:szCs w:val="24"/>
              </w:rPr>
              <w:t>6.6.1</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预应力工程材料进场检查应符合下列规定：1应检查规格、外观、尺寸及其质量证明文件；</w:t>
            </w:r>
          </w:p>
        </w:tc>
        <w:tc>
          <w:tcPr>
            <w:tcW w:w="441"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24</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0C0C0C"/>
                <w:sz w:val="24"/>
                <w:szCs w:val="24"/>
                <w:lang w:val="en-US" w:eastAsia="zh-CN"/>
              </w:rPr>
              <w:t>防水材料（重点检查）、保温材料</w:t>
            </w:r>
          </w:p>
        </w:tc>
        <w:tc>
          <w:tcPr>
            <w:tcW w:w="1857" w:type="pct"/>
            <w:vMerge w:val="restart"/>
          </w:tcPr>
          <w:p>
            <w:pPr>
              <w:keepNext w:val="0"/>
              <w:keepLines w:val="0"/>
              <w:widowControl/>
              <w:suppressLineNumbers w:val="0"/>
              <w:jc w:val="left"/>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《建筑与市政工程防水</w:t>
            </w:r>
            <w:r>
              <w:rPr>
                <w:rFonts w:hint="eastAsia" w:ascii="黑体" w:hAnsi="黑体" w:eastAsia="黑体" w:cs="黑体"/>
                <w:b w:val="0"/>
                <w:bCs w:val="0"/>
                <w:color w:val="000000"/>
                <w:sz w:val="24"/>
                <w:szCs w:val="24"/>
                <w:lang w:eastAsia="zh-CN"/>
              </w:rPr>
              <w:t>通用规范</w:t>
            </w:r>
            <w:r>
              <w:rPr>
                <w:rFonts w:hint="eastAsia" w:ascii="黑体" w:hAnsi="黑体" w:eastAsia="黑体" w:cs="黑体"/>
                <w:b w:val="0"/>
                <w:bCs w:val="0"/>
                <w:color w:val="000000"/>
                <w:sz w:val="24"/>
                <w:szCs w:val="24"/>
              </w:rPr>
              <w:t>》GB55030-2022</w:t>
            </w:r>
            <w:r>
              <w:rPr>
                <w:rFonts w:hint="eastAsia" w:ascii="黑体" w:hAnsi="黑体" w:eastAsia="黑体" w:cs="黑体"/>
                <w:b w:val="0"/>
                <w:bCs w:val="0"/>
                <w:color w:val="000000"/>
                <w:sz w:val="24"/>
                <w:szCs w:val="24"/>
                <w:lang w:val="en-US" w:eastAsia="zh-CN"/>
              </w:rPr>
              <w:t>第</w:t>
            </w:r>
            <w:r>
              <w:rPr>
                <w:rFonts w:hint="eastAsia" w:ascii="黑体" w:hAnsi="黑体" w:eastAsia="黑体" w:cs="黑体"/>
                <w:b w:val="0"/>
                <w:bCs w:val="0"/>
                <w:color w:val="000000"/>
                <w:sz w:val="24"/>
                <w:szCs w:val="24"/>
              </w:rPr>
              <w:t>5.1.3</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防水材料及配套辅助材料进场时应提供产品合格证、质量检验报告、使用说明书、进场复验报告。防水卷材进场复验报告应包含无处理时卷材接缝剥离强度和搭接缝不透水性检测结果。</w:t>
            </w:r>
          </w:p>
          <w:p>
            <w:pPr>
              <w:keepNext w:val="0"/>
              <w:keepLines w:val="0"/>
              <w:widowControl/>
              <w:suppressLineNumbers w:val="0"/>
              <w:jc w:val="left"/>
              <w:rPr>
                <w:rFonts w:hint="eastAsia" w:ascii="黑体" w:hAnsi="黑体" w:eastAsia="黑体" w:cs="黑体"/>
                <w:b w:val="0"/>
                <w:bCs w:val="0"/>
                <w:sz w:val="24"/>
                <w:szCs w:val="24"/>
              </w:rPr>
            </w:pPr>
            <w:r>
              <w:rPr>
                <w:rFonts w:hint="eastAsia" w:ascii="黑体" w:hAnsi="黑体" w:eastAsia="黑体" w:cs="黑体"/>
                <w:b w:val="0"/>
                <w:bCs w:val="0"/>
                <w:color w:val="000000"/>
                <w:sz w:val="24"/>
                <w:szCs w:val="24"/>
                <w:lang w:val="en-US" w:eastAsia="zh-CN"/>
              </w:rPr>
              <w:t>《建筑节能与可再生能源利用通用规范》GB55015-2021第3.1.19：外墙保温工程应采用预制构件、定型产品或成套技术，并应具备同一供应商提供配套的组成材料和型式检验报告。型式检验报告应包括配套组成材料的名称、生产单位、规格型号、主要性能参数。外保温系统型式检验报告还应包括耐候性和抗风压性能检验项目。</w:t>
            </w:r>
          </w:p>
        </w:tc>
        <w:tc>
          <w:tcPr>
            <w:tcW w:w="441"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auto"/>
                <w:sz w:val="24"/>
                <w:szCs w:val="24"/>
              </w:rPr>
              <w:t>□不符合</w:t>
            </w:r>
          </w:p>
        </w:tc>
        <w:tc>
          <w:tcPr>
            <w:tcW w:w="1182"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97"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579"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857" w:type="pct"/>
            <w:vMerge w:val="continue"/>
          </w:tcPr>
          <w:p>
            <w:pPr>
              <w:keepNext w:val="0"/>
              <w:keepLines w:val="0"/>
              <w:widowControl/>
              <w:suppressLineNumbers w:val="0"/>
              <w:jc w:val="left"/>
              <w:rPr>
                <w:rFonts w:hint="eastAsia" w:ascii="黑体" w:hAnsi="黑体" w:eastAsia="黑体" w:cs="黑体"/>
                <w:b w:val="0"/>
                <w:bCs w:val="0"/>
                <w:sz w:val="24"/>
                <w:szCs w:val="24"/>
              </w:rPr>
            </w:pPr>
          </w:p>
        </w:tc>
        <w:tc>
          <w:tcPr>
            <w:tcW w:w="441"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auto"/>
                <w:sz w:val="24"/>
                <w:szCs w:val="24"/>
              </w:rPr>
              <w:t>□不符合</w:t>
            </w:r>
          </w:p>
        </w:tc>
        <w:tc>
          <w:tcPr>
            <w:tcW w:w="1182"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97"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579"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857" w:type="pct"/>
            <w:vMerge w:val="continue"/>
          </w:tcPr>
          <w:p>
            <w:pPr>
              <w:keepNext w:val="0"/>
              <w:keepLines w:val="0"/>
              <w:widowControl/>
              <w:suppressLineNumbers w:val="0"/>
              <w:jc w:val="left"/>
              <w:rPr>
                <w:rFonts w:hint="eastAsia" w:ascii="黑体" w:hAnsi="黑体" w:eastAsia="黑体" w:cs="黑体"/>
                <w:b w:val="0"/>
                <w:bCs w:val="0"/>
                <w:sz w:val="24"/>
                <w:szCs w:val="24"/>
              </w:rPr>
            </w:pPr>
          </w:p>
        </w:tc>
        <w:tc>
          <w:tcPr>
            <w:tcW w:w="441"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97"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579" w:type="pct"/>
            <w:vMerge w:val="continue"/>
            <w:vAlign w:val="center"/>
          </w:tcPr>
          <w:p>
            <w:pPr>
              <w:keepNext w:val="0"/>
              <w:keepLines w:val="0"/>
              <w:widowControl/>
              <w:suppressLineNumbers w:val="0"/>
              <w:jc w:val="left"/>
              <w:rPr>
                <w:rFonts w:hint="eastAsia" w:ascii="黑体" w:hAnsi="黑体" w:eastAsia="黑体" w:cs="黑体"/>
                <w:b w:val="0"/>
                <w:bCs w:val="0"/>
                <w:sz w:val="24"/>
                <w:szCs w:val="24"/>
              </w:rPr>
            </w:pPr>
          </w:p>
        </w:tc>
        <w:tc>
          <w:tcPr>
            <w:tcW w:w="1857" w:type="pct"/>
            <w:vMerge w:val="continue"/>
          </w:tcPr>
          <w:p>
            <w:pPr>
              <w:keepNext w:val="0"/>
              <w:keepLines w:val="0"/>
              <w:widowControl/>
              <w:suppressLineNumbers w:val="0"/>
              <w:jc w:val="left"/>
              <w:rPr>
                <w:rFonts w:hint="eastAsia" w:ascii="黑体" w:hAnsi="黑体" w:eastAsia="黑体" w:cs="黑体"/>
                <w:b w:val="0"/>
                <w:bCs w:val="0"/>
                <w:sz w:val="24"/>
                <w:szCs w:val="24"/>
              </w:rPr>
            </w:pPr>
          </w:p>
        </w:tc>
        <w:tc>
          <w:tcPr>
            <w:tcW w:w="441"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197" w:type="pct"/>
            <w:vMerge w:val="continue"/>
            <w:vAlign w:val="center"/>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579" w:type="pct"/>
            <w:vMerge w:val="continue"/>
            <w:vAlign w:val="center"/>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1857" w:type="pct"/>
            <w:vMerge w:val="continue"/>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441"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color w:val="auto"/>
                <w:sz w:val="24"/>
                <w:szCs w:val="24"/>
              </w:rPr>
              <w:t>□不符合</w:t>
            </w:r>
          </w:p>
        </w:tc>
        <w:tc>
          <w:tcPr>
            <w:tcW w:w="1182" w:type="pct"/>
          </w:tcPr>
          <w:p>
            <w:pPr>
              <w:keepNext w:val="0"/>
              <w:keepLines w:val="0"/>
              <w:widowControl/>
              <w:suppressLineNumbers w:val="0"/>
              <w:jc w:val="left"/>
              <w:rPr>
                <w:rFonts w:hint="eastAsia" w:ascii="黑体" w:hAnsi="黑体" w:eastAsia="黑体" w:cs="黑体"/>
                <w:b w:val="0"/>
                <w:bCs w:val="0"/>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2" w:hRule="atLeast"/>
          <w:jc w:val="center"/>
        </w:trPr>
        <w:tc>
          <w:tcPr>
            <w:tcW w:w="285"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（六）施工试验报告</w:t>
            </w: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25</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地基强度和承载力检验报告、桩基检验报告</w:t>
            </w:r>
          </w:p>
        </w:tc>
        <w:tc>
          <w:tcPr>
            <w:tcW w:w="1857" w:type="pct"/>
            <w:vMerge w:val="restart"/>
            <w:vAlign w:val="center"/>
          </w:tcPr>
          <w:p>
            <w:pPr>
              <w:jc w:val="left"/>
              <w:rPr>
                <w:rFonts w:hint="eastAsia" w:ascii="黑体" w:hAnsi="黑体" w:eastAsia="黑体" w:cs="黑体"/>
                <w:b w:val="0"/>
                <w:bCs w:val="0"/>
                <w:sz w:val="24"/>
                <w:szCs w:val="24"/>
              </w:rPr>
            </w:pPr>
            <w:r>
              <w:rPr>
                <w:rFonts w:hint="eastAsia" w:ascii="黑体" w:hAnsi="黑体" w:eastAsia="黑体" w:cs="黑体"/>
                <w:b w:val="0"/>
                <w:bCs w:val="0"/>
                <w:sz w:val="24"/>
                <w:szCs w:val="24"/>
              </w:rPr>
              <w:t>①《建筑与市政地基基础</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GB55003-2021第4.1.3：处理后的地基应进行地基承载力和变形评价、处理范围和有效加固深度内地基均匀性评价。复合地基应进行增强体强度及桩身完整性和单桩竖向承载力检验以及单桩或多桩复合地基载荷试验，施工工艺对桩间土承载力有影响时尚应进行桩间土承载力检验。</w:t>
            </w:r>
          </w:p>
          <w:p>
            <w:pPr>
              <w:jc w:val="left"/>
              <w:rPr>
                <w:rFonts w:hint="eastAsia" w:ascii="黑体" w:hAnsi="黑体" w:eastAsia="黑体" w:cs="黑体"/>
                <w:b w:val="0"/>
                <w:bCs w:val="0"/>
                <w:color w:val="000000"/>
                <w:sz w:val="24"/>
                <w:szCs w:val="24"/>
              </w:rPr>
            </w:pPr>
            <w:r>
              <w:rPr>
                <w:rFonts w:hint="eastAsia" w:ascii="黑体" w:hAnsi="黑体" w:eastAsia="黑体" w:cs="黑体"/>
                <w:b w:val="0"/>
                <w:bCs w:val="0"/>
                <w:sz w:val="24"/>
                <w:szCs w:val="24"/>
              </w:rPr>
              <w:t>②《建筑与市政地基基础</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GB55003-2021第5.4.3：桩基工程施工验收检验，应符合下列规定：1施工完成后的工程桩应进行竖向承载力检验，承受水平力较大的桩应进行水平承载力检验，抗拔桩应进行抗拔承载力检验；2灌注桩应对孔深、桩径、桩位偏差、桩身完整性进行检验，嵌岩桩应对桩端的岩性进行检验；3混凝土预制桩应对桩位偏差、桩身完整性进行检验；4钢桩应对桩位偏差、断面尺寸、桩长和矢高进行检验；5人工挖孔桩终孔时，应进行桩端持力层检验。</w:t>
            </w:r>
          </w:p>
        </w:tc>
        <w:tc>
          <w:tcPr>
            <w:tcW w:w="441" w:type="pct"/>
            <w:vAlign w:val="center"/>
          </w:tcPr>
          <w:p>
            <w:pPr>
              <w:jc w:val="left"/>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2" w:hRule="atLeast"/>
          <w:jc w:val="center"/>
        </w:trPr>
        <w:tc>
          <w:tcPr>
            <w:tcW w:w="285" w:type="pct"/>
            <w:vMerge w:val="continue"/>
            <w:vAlign w:val="center"/>
          </w:tcPr>
          <w:p>
            <w:pPr>
              <w:jc w:val="left"/>
              <w:rPr>
                <w:rFonts w:hint="eastAsia" w:ascii="黑体" w:hAnsi="黑体" w:eastAsia="黑体" w:cs="黑体"/>
                <w:b w:val="0"/>
                <w:bCs w:val="0"/>
                <w:sz w:val="24"/>
                <w:szCs w:val="24"/>
              </w:rPr>
            </w:pPr>
          </w:p>
        </w:tc>
        <w:tc>
          <w:tcPr>
            <w:tcW w:w="197" w:type="pct"/>
            <w:vMerge w:val="continue"/>
            <w:vAlign w:val="center"/>
          </w:tcPr>
          <w:p>
            <w:pPr>
              <w:jc w:val="left"/>
              <w:rPr>
                <w:rFonts w:hint="eastAsia" w:ascii="黑体" w:hAnsi="黑体" w:eastAsia="黑体" w:cs="黑体"/>
                <w:b w:val="0"/>
                <w:bCs w:val="0"/>
                <w:sz w:val="24"/>
                <w:szCs w:val="24"/>
              </w:rPr>
            </w:pPr>
          </w:p>
        </w:tc>
        <w:tc>
          <w:tcPr>
            <w:tcW w:w="579" w:type="pct"/>
            <w:vMerge w:val="continue"/>
            <w:vAlign w:val="center"/>
          </w:tcPr>
          <w:p>
            <w:pPr>
              <w:jc w:val="left"/>
              <w:rPr>
                <w:rFonts w:hint="eastAsia" w:ascii="黑体" w:hAnsi="黑体" w:eastAsia="黑体" w:cs="黑体"/>
                <w:b w:val="0"/>
                <w:bCs w:val="0"/>
                <w:sz w:val="24"/>
                <w:szCs w:val="24"/>
              </w:rPr>
            </w:pPr>
          </w:p>
        </w:tc>
        <w:tc>
          <w:tcPr>
            <w:tcW w:w="1857" w:type="pct"/>
            <w:vMerge w:val="continue"/>
            <w:vAlign w:val="center"/>
          </w:tcPr>
          <w:p>
            <w:pPr>
              <w:jc w:val="left"/>
              <w:rPr>
                <w:rFonts w:hint="eastAsia" w:ascii="黑体" w:hAnsi="黑体" w:eastAsia="黑体" w:cs="黑体"/>
                <w:b w:val="0"/>
                <w:bCs w:val="0"/>
                <w:sz w:val="24"/>
                <w:szCs w:val="24"/>
              </w:rPr>
            </w:pPr>
          </w:p>
        </w:tc>
        <w:tc>
          <w:tcPr>
            <w:tcW w:w="441" w:type="pct"/>
            <w:vAlign w:val="center"/>
          </w:tcPr>
          <w:p>
            <w:pPr>
              <w:jc w:val="left"/>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2" w:hRule="atLeast"/>
          <w:jc w:val="center"/>
        </w:trPr>
        <w:tc>
          <w:tcPr>
            <w:tcW w:w="285" w:type="pct"/>
            <w:vMerge w:val="continue"/>
            <w:vAlign w:val="center"/>
          </w:tcPr>
          <w:p>
            <w:pPr>
              <w:jc w:val="left"/>
              <w:rPr>
                <w:rFonts w:hint="eastAsia" w:ascii="黑体" w:hAnsi="黑体" w:eastAsia="黑体" w:cs="黑体"/>
                <w:b w:val="0"/>
                <w:bCs w:val="0"/>
                <w:sz w:val="24"/>
                <w:szCs w:val="24"/>
              </w:rPr>
            </w:pPr>
          </w:p>
        </w:tc>
        <w:tc>
          <w:tcPr>
            <w:tcW w:w="197" w:type="pct"/>
            <w:vMerge w:val="continue"/>
            <w:vAlign w:val="center"/>
          </w:tcPr>
          <w:p>
            <w:pPr>
              <w:jc w:val="left"/>
              <w:rPr>
                <w:rFonts w:hint="eastAsia" w:ascii="黑体" w:hAnsi="黑体" w:eastAsia="黑体" w:cs="黑体"/>
                <w:b w:val="0"/>
                <w:bCs w:val="0"/>
                <w:sz w:val="24"/>
                <w:szCs w:val="24"/>
              </w:rPr>
            </w:pPr>
          </w:p>
        </w:tc>
        <w:tc>
          <w:tcPr>
            <w:tcW w:w="579" w:type="pct"/>
            <w:vMerge w:val="continue"/>
            <w:vAlign w:val="center"/>
          </w:tcPr>
          <w:p>
            <w:pPr>
              <w:jc w:val="left"/>
              <w:rPr>
                <w:rFonts w:hint="eastAsia" w:ascii="黑体" w:hAnsi="黑体" w:eastAsia="黑体" w:cs="黑体"/>
                <w:b w:val="0"/>
                <w:bCs w:val="0"/>
                <w:sz w:val="24"/>
                <w:szCs w:val="24"/>
              </w:rPr>
            </w:pPr>
          </w:p>
        </w:tc>
        <w:tc>
          <w:tcPr>
            <w:tcW w:w="1857" w:type="pct"/>
            <w:vMerge w:val="continue"/>
            <w:vAlign w:val="center"/>
          </w:tcPr>
          <w:p>
            <w:pPr>
              <w:jc w:val="left"/>
              <w:rPr>
                <w:rFonts w:hint="eastAsia" w:ascii="黑体" w:hAnsi="黑体" w:eastAsia="黑体" w:cs="黑体"/>
                <w:b w:val="0"/>
                <w:bCs w:val="0"/>
                <w:sz w:val="24"/>
                <w:szCs w:val="24"/>
              </w:rPr>
            </w:pPr>
          </w:p>
        </w:tc>
        <w:tc>
          <w:tcPr>
            <w:tcW w:w="441" w:type="pct"/>
            <w:vAlign w:val="center"/>
          </w:tcPr>
          <w:p>
            <w:pPr>
              <w:jc w:val="left"/>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2" w:hRule="atLeast"/>
          <w:jc w:val="center"/>
        </w:trPr>
        <w:tc>
          <w:tcPr>
            <w:tcW w:w="285" w:type="pct"/>
            <w:vMerge w:val="continue"/>
            <w:vAlign w:val="center"/>
          </w:tcPr>
          <w:p>
            <w:pPr>
              <w:jc w:val="left"/>
              <w:rPr>
                <w:rFonts w:hint="eastAsia" w:ascii="黑体" w:hAnsi="黑体" w:eastAsia="黑体" w:cs="黑体"/>
                <w:b w:val="0"/>
                <w:bCs w:val="0"/>
                <w:sz w:val="24"/>
                <w:szCs w:val="24"/>
              </w:rPr>
            </w:pPr>
          </w:p>
        </w:tc>
        <w:tc>
          <w:tcPr>
            <w:tcW w:w="197" w:type="pct"/>
            <w:vMerge w:val="continue"/>
            <w:vAlign w:val="center"/>
          </w:tcPr>
          <w:p>
            <w:pPr>
              <w:jc w:val="left"/>
              <w:rPr>
                <w:rFonts w:hint="eastAsia" w:ascii="黑体" w:hAnsi="黑体" w:eastAsia="黑体" w:cs="黑体"/>
                <w:b w:val="0"/>
                <w:bCs w:val="0"/>
                <w:sz w:val="24"/>
                <w:szCs w:val="24"/>
              </w:rPr>
            </w:pPr>
          </w:p>
        </w:tc>
        <w:tc>
          <w:tcPr>
            <w:tcW w:w="579" w:type="pct"/>
            <w:vMerge w:val="continue"/>
            <w:vAlign w:val="center"/>
          </w:tcPr>
          <w:p>
            <w:pPr>
              <w:jc w:val="left"/>
              <w:rPr>
                <w:rFonts w:hint="eastAsia" w:ascii="黑体" w:hAnsi="黑体" w:eastAsia="黑体" w:cs="黑体"/>
                <w:b w:val="0"/>
                <w:bCs w:val="0"/>
                <w:sz w:val="24"/>
                <w:szCs w:val="24"/>
              </w:rPr>
            </w:pPr>
          </w:p>
        </w:tc>
        <w:tc>
          <w:tcPr>
            <w:tcW w:w="1857" w:type="pct"/>
            <w:vMerge w:val="continue"/>
            <w:vAlign w:val="center"/>
          </w:tcPr>
          <w:p>
            <w:pPr>
              <w:jc w:val="left"/>
              <w:rPr>
                <w:rFonts w:hint="eastAsia" w:ascii="黑体" w:hAnsi="黑体" w:eastAsia="黑体" w:cs="黑体"/>
                <w:b w:val="0"/>
                <w:bCs w:val="0"/>
                <w:sz w:val="24"/>
                <w:szCs w:val="24"/>
              </w:rPr>
            </w:pPr>
          </w:p>
        </w:tc>
        <w:tc>
          <w:tcPr>
            <w:tcW w:w="441" w:type="pct"/>
            <w:vAlign w:val="center"/>
          </w:tcPr>
          <w:p>
            <w:pPr>
              <w:jc w:val="left"/>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2" w:hRule="atLeast"/>
          <w:jc w:val="center"/>
        </w:trPr>
        <w:tc>
          <w:tcPr>
            <w:tcW w:w="285" w:type="pct"/>
            <w:vMerge w:val="continue"/>
            <w:vAlign w:val="center"/>
          </w:tcPr>
          <w:p>
            <w:pPr>
              <w:jc w:val="left"/>
              <w:rPr>
                <w:rFonts w:hint="eastAsia" w:ascii="黑体" w:hAnsi="黑体" w:eastAsia="黑体" w:cs="黑体"/>
                <w:b w:val="0"/>
                <w:bCs w:val="0"/>
                <w:sz w:val="24"/>
                <w:szCs w:val="24"/>
              </w:rPr>
            </w:pPr>
          </w:p>
        </w:tc>
        <w:tc>
          <w:tcPr>
            <w:tcW w:w="197" w:type="pct"/>
            <w:vMerge w:val="continue"/>
            <w:vAlign w:val="center"/>
          </w:tcPr>
          <w:p>
            <w:pPr>
              <w:jc w:val="left"/>
              <w:rPr>
                <w:rFonts w:hint="eastAsia" w:ascii="黑体" w:hAnsi="黑体" w:eastAsia="黑体" w:cs="黑体"/>
                <w:b w:val="0"/>
                <w:bCs w:val="0"/>
                <w:sz w:val="24"/>
                <w:szCs w:val="24"/>
              </w:rPr>
            </w:pPr>
          </w:p>
        </w:tc>
        <w:tc>
          <w:tcPr>
            <w:tcW w:w="579" w:type="pct"/>
            <w:vMerge w:val="continue"/>
            <w:vAlign w:val="center"/>
          </w:tcPr>
          <w:p>
            <w:pPr>
              <w:jc w:val="left"/>
              <w:rPr>
                <w:rFonts w:hint="eastAsia" w:ascii="黑体" w:hAnsi="黑体" w:eastAsia="黑体" w:cs="黑体"/>
                <w:b w:val="0"/>
                <w:bCs w:val="0"/>
                <w:sz w:val="24"/>
                <w:szCs w:val="24"/>
              </w:rPr>
            </w:pPr>
          </w:p>
        </w:tc>
        <w:tc>
          <w:tcPr>
            <w:tcW w:w="1857" w:type="pct"/>
            <w:vMerge w:val="continue"/>
            <w:vAlign w:val="center"/>
          </w:tcPr>
          <w:p>
            <w:pPr>
              <w:jc w:val="left"/>
              <w:rPr>
                <w:rFonts w:hint="eastAsia" w:ascii="黑体" w:hAnsi="黑体" w:eastAsia="黑体" w:cs="黑体"/>
                <w:b w:val="0"/>
                <w:bCs w:val="0"/>
                <w:sz w:val="24"/>
                <w:szCs w:val="24"/>
              </w:rPr>
            </w:pPr>
          </w:p>
        </w:tc>
        <w:tc>
          <w:tcPr>
            <w:tcW w:w="441" w:type="pct"/>
            <w:vAlign w:val="center"/>
          </w:tcPr>
          <w:p>
            <w:pPr>
              <w:jc w:val="left"/>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jc w:val="left"/>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26</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混凝土试块（砂浆）抗压强度试验报告，和统计结论</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val="en-US" w:eastAsia="zh-CN"/>
              </w:rPr>
            </w:pPr>
            <w:r>
              <w:rPr>
                <w:rFonts w:hint="eastAsia" w:ascii="黑体" w:hAnsi="黑体" w:eastAsia="黑体" w:cs="黑体"/>
                <w:b w:val="0"/>
                <w:bCs w:val="0"/>
                <w:sz w:val="24"/>
                <w:szCs w:val="24"/>
              </w:rPr>
              <w:t>《山东省建筑工程质量</w:t>
            </w:r>
            <w:r>
              <w:rPr>
                <w:rFonts w:hint="eastAsia" w:ascii="黑体" w:hAnsi="黑体" w:eastAsia="黑体" w:cs="黑体"/>
                <w:b w:val="0"/>
                <w:bCs w:val="0"/>
                <w:sz w:val="24"/>
                <w:szCs w:val="24"/>
                <w:lang w:eastAsia="zh-CN"/>
              </w:rPr>
              <w:t>风险分级</w:t>
            </w:r>
            <w:r>
              <w:rPr>
                <w:rFonts w:hint="eastAsia" w:ascii="黑体" w:hAnsi="黑体" w:eastAsia="黑体" w:cs="黑体"/>
                <w:b w:val="0"/>
                <w:bCs w:val="0"/>
                <w:sz w:val="24"/>
                <w:szCs w:val="24"/>
              </w:rPr>
              <w:t>管控实施差异化监管技术指南1.0》附录B二、主体结构-混凝土施工的规定</w:t>
            </w:r>
            <w:r>
              <w:rPr>
                <w:rFonts w:hint="eastAsia" w:ascii="黑体" w:hAnsi="黑体" w:eastAsia="黑体" w:cs="黑体"/>
                <w:b w:val="0"/>
                <w:bCs w:val="0"/>
                <w:sz w:val="24"/>
                <w:szCs w:val="24"/>
                <w:lang w:val="en-US" w:eastAsia="zh-CN"/>
              </w:rPr>
              <w:t>:</w:t>
            </w:r>
            <w:r>
              <w:rPr>
                <w:rFonts w:hint="eastAsia" w:ascii="黑体" w:hAnsi="黑体" w:eastAsia="黑体" w:cs="黑体"/>
                <w:b w:val="0"/>
                <w:bCs w:val="0"/>
                <w:color w:val="000000"/>
                <w:sz w:val="24"/>
                <w:szCs w:val="24"/>
              </w:rPr>
              <w:t>（2）未按规范要求数量留置混凝土试块，混凝土试块强度检测结果严重低于标准强度，混凝土强度评定不合格。</w:t>
            </w:r>
            <w:r>
              <w:rPr>
                <w:rFonts w:hint="eastAsia" w:ascii="黑体" w:hAnsi="黑体" w:eastAsia="黑体" w:cs="黑体"/>
                <w:b w:val="0"/>
                <w:bCs w:val="0"/>
                <w:sz w:val="24"/>
                <w:szCs w:val="24"/>
              </w:rPr>
              <w:t>《混凝土结构</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》GB55008-2021第</w:t>
            </w:r>
            <w:r>
              <w:rPr>
                <w:rFonts w:hint="eastAsia" w:ascii="黑体" w:hAnsi="黑体" w:eastAsia="黑体" w:cs="黑体"/>
                <w:b w:val="0"/>
                <w:bCs w:val="0"/>
                <w:color w:val="000000"/>
                <w:sz w:val="24"/>
                <w:szCs w:val="24"/>
              </w:rPr>
              <w:t>5.1.4：模板拆除、预制构件起吊、张拉放张时，同条件养护的混凝土试件应达到规定强度。</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27</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钢筋焊接、机械连接工艺试验报告</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混凝土结构工程施工规范</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GB50666-2011</w:t>
            </w:r>
            <w:r>
              <w:rPr>
                <w:rFonts w:hint="eastAsia" w:ascii="黑体" w:hAnsi="黑体" w:eastAsia="黑体" w:cs="黑体"/>
                <w:b w:val="0"/>
                <w:bCs w:val="0"/>
                <w:color w:val="000000"/>
                <w:sz w:val="24"/>
                <w:szCs w:val="24"/>
                <w:lang w:val="en-US" w:eastAsia="zh-CN"/>
              </w:rPr>
              <w:t>第</w:t>
            </w:r>
            <w:r>
              <w:rPr>
                <w:rFonts w:hint="eastAsia" w:ascii="黑体" w:hAnsi="黑体" w:eastAsia="黑体" w:cs="黑体"/>
                <w:b w:val="0"/>
                <w:bCs w:val="0"/>
                <w:color w:val="000000"/>
                <w:sz w:val="24"/>
                <w:szCs w:val="24"/>
              </w:rPr>
              <w:t>5.5.5</w:t>
            </w:r>
            <w:r>
              <w:rPr>
                <w:rFonts w:hint="eastAsia" w:ascii="黑体" w:hAnsi="黑体" w:eastAsia="黑体" w:cs="黑体"/>
                <w:b w:val="0"/>
                <w:bCs w:val="0"/>
                <w:color w:val="000000"/>
                <w:sz w:val="24"/>
                <w:szCs w:val="24"/>
                <w:lang w:val="en-US" w:eastAsia="zh-CN"/>
              </w:rPr>
              <w:t>条1款</w:t>
            </w:r>
            <w:r>
              <w:rPr>
                <w:rFonts w:hint="eastAsia" w:ascii="黑体" w:hAnsi="黑体" w:eastAsia="黑体" w:cs="黑体"/>
                <w:b w:val="0"/>
                <w:bCs w:val="0"/>
                <w:color w:val="000000"/>
                <w:sz w:val="24"/>
                <w:szCs w:val="24"/>
                <w:lang w:eastAsia="zh-CN"/>
              </w:rPr>
              <w:t>：</w:t>
            </w:r>
            <w:r>
              <w:rPr>
                <w:rFonts w:hint="eastAsia" w:ascii="黑体" w:hAnsi="黑体" w:eastAsia="黑体" w:cs="黑体"/>
                <w:b w:val="0"/>
                <w:bCs w:val="0"/>
                <w:color w:val="000000"/>
                <w:sz w:val="24"/>
                <w:szCs w:val="24"/>
              </w:rPr>
              <w:t>1钢筋焊接和机械连接施工前均应进行工艺检验。</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sz w:val="24"/>
                <w:szCs w:val="24"/>
                <w:lang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28</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钢筋焊接、机械连接施工试验报告</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0C0C0C"/>
                <w:sz w:val="24"/>
                <w:szCs w:val="24"/>
                <w:lang w:val="en-US" w:eastAsia="zh-CN"/>
              </w:rPr>
              <w:t>《混凝土结构通用规范》GB55008-2021第5.3.1:钢筋机械连接或焊接连接接头试件应从完成的实体中截取，应按规定进行性能检验。</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29</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钢结构连接（焊接）质量检测报告</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0C0C0C"/>
                <w:sz w:val="24"/>
                <w:szCs w:val="24"/>
                <w:lang w:val="en-US" w:eastAsia="zh-CN"/>
              </w:rPr>
              <w:t>《钢结构通用规范》GB55006-2021第7.2.3全部焊缝应进行外观检查。要求全焊透的一级、二级焊缝应进行内部缺陷无损检测，一级焊缝探伤比例应为100％，二级焊缝探伤比例应不低于20％。</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30</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0C0C0C"/>
                <w:sz w:val="24"/>
                <w:szCs w:val="24"/>
                <w:lang w:val="en-US" w:eastAsia="zh-CN"/>
              </w:rPr>
              <w:t>防水材料（重点检查）、保温材料试验报告</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sz w:val="24"/>
                <w:szCs w:val="24"/>
              </w:rPr>
              <w:t>《建筑与市政工程施工质量控制</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w:t>
            </w:r>
            <w:r>
              <w:rPr>
                <w:rFonts w:hint="eastAsia" w:ascii="黑体" w:hAnsi="黑体" w:eastAsia="黑体" w:cs="黑体"/>
                <w:b w:val="0"/>
                <w:bCs w:val="0"/>
                <w:sz w:val="24"/>
                <w:szCs w:val="24"/>
                <w:lang w:eastAsia="zh-CN"/>
              </w:rPr>
              <w:t>GB</w:t>
            </w:r>
            <w:r>
              <w:rPr>
                <w:rFonts w:hint="eastAsia" w:ascii="黑体" w:hAnsi="黑体" w:eastAsia="黑体" w:cs="黑体"/>
                <w:b w:val="0"/>
                <w:bCs w:val="0"/>
                <w:sz w:val="24"/>
                <w:szCs w:val="24"/>
              </w:rPr>
              <w:t>55032-2022第3.2.1：工程采用的主要材料、半成品、成品、构配件、器具和设备应进行进场检验。涉及安全、节能、环境保护和主要使用功能的重要材料、产品应按各专业相关规定进行复验，并应经监理工程师检查认可。建筑节能与可再生能源利用</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》GB55015-2021第6.1.1：建筑节能工程采用的材料、构件和设备，应在施工进场进行随机抽样复验，复验应为见证取样检验。</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31</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装配式砼结构钢筋连接套筒灌浆连接接头抗拉强度试验报告、灌浆料强度试验报告</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0C0C0C"/>
                <w:sz w:val="24"/>
                <w:szCs w:val="24"/>
                <w:lang w:val="en-US" w:eastAsia="zh-CN"/>
              </w:rPr>
              <w:t>《混凝土结构通用规范》GB55008-2021第5.5.1预制构件连接应符合设计要求，并应符合下列规定：1套筒灌浆连接接头应进行工艺检验和现场平行加工试件性能检验；灌浆应饱满密实。</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227" w:type="dxa"/>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227" w:type="dxa"/>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227" w:type="dxa"/>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r>
              <w:rPr>
                <w:rFonts w:hint="eastAsia" w:ascii="黑体" w:hAnsi="黑体" w:eastAsia="黑体" w:cs="黑体"/>
                <w:b w:val="0"/>
                <w:bCs w:val="0"/>
                <w:color w:val="0C0C0C"/>
                <w:sz w:val="24"/>
                <w:szCs w:val="24"/>
              </w:rPr>
              <w:t>（七）施工记录</w:t>
            </w: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32</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试块、试件及原材等见证取样和送检记录</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0C0C0C"/>
                <w:sz w:val="24"/>
                <w:szCs w:val="24"/>
                <w:lang w:val="en-US" w:eastAsia="zh-CN"/>
              </w:rPr>
              <w:t>《建筑与市政工程施工质量控制通用规范》GB55032-2022第3.2.2：对涉及结构安全、节能、环境保护和主要使用功能的试块、试件及材料，应按规定进行见证检验。见证检验应在建设单位或者监理单位的监督下现场取样、送检，检测试样应具有真实性和代表性。</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33</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桩基试桩、成桩记录</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sz w:val="24"/>
                <w:szCs w:val="24"/>
              </w:rPr>
              <w:t>《建筑与市政地基基础</w:t>
            </w:r>
            <w:r>
              <w:rPr>
                <w:rFonts w:hint="eastAsia" w:ascii="黑体" w:hAnsi="黑体" w:eastAsia="黑体" w:cs="黑体"/>
                <w:b w:val="0"/>
                <w:bCs w:val="0"/>
                <w:sz w:val="24"/>
                <w:szCs w:val="24"/>
                <w:lang w:eastAsia="zh-CN"/>
              </w:rPr>
              <w:t>通用规范</w:t>
            </w:r>
            <w:r>
              <w:rPr>
                <w:rFonts w:hint="eastAsia" w:ascii="黑体" w:hAnsi="黑体" w:eastAsia="黑体" w:cs="黑体"/>
                <w:b w:val="0"/>
                <w:bCs w:val="0"/>
                <w:sz w:val="24"/>
                <w:szCs w:val="24"/>
              </w:rPr>
              <w:t>》GB55003-2021第5.4.1：</w:t>
            </w:r>
            <w:r>
              <w:rPr>
                <w:rFonts w:hint="eastAsia" w:ascii="黑体" w:hAnsi="黑体" w:eastAsia="黑体" w:cs="黑体"/>
                <w:b w:val="0"/>
                <w:bCs w:val="0"/>
                <w:sz w:val="24"/>
                <w:szCs w:val="24"/>
                <w:lang w:val="en-US" w:eastAsia="zh-CN"/>
              </w:rPr>
              <w:t>桩</w:t>
            </w:r>
            <w:r>
              <w:rPr>
                <w:rFonts w:hint="eastAsia" w:ascii="黑体" w:hAnsi="黑体" w:eastAsia="黑体" w:cs="黑体"/>
                <w:b w:val="0"/>
                <w:bCs w:val="0"/>
                <w:sz w:val="24"/>
                <w:szCs w:val="24"/>
              </w:rPr>
              <w:t>基工程施工应符合下列规定：2桩基施工前应进行工艺性试验确定施工技术参数。</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sz w:val="24"/>
                <w:szCs w:val="24"/>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34</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结构实体检验记录</w:t>
            </w:r>
          </w:p>
        </w:tc>
        <w:tc>
          <w:tcPr>
            <w:tcW w:w="185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0C0C0C"/>
                <w:sz w:val="24"/>
                <w:szCs w:val="24"/>
                <w:lang w:val="en-US" w:eastAsia="zh-CN"/>
              </w:rPr>
              <w:t>《混凝土结构通用规范》GB55008-2021第5.1.6：应对涉及结构安全的代表性部位进行实体质量检验。</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0C0C0C"/>
                <w:sz w:val="24"/>
                <w:szCs w:val="24"/>
                <w:lang w:val="en-US" w:eastAsia="zh-CN"/>
              </w:rPr>
              <w:t>《混凝土结构工程施工质量验收规范》GB 50204-2015第10.1.1：对涉及混凝土结构安全的有代表性的部位应进行结构实体检验。结构实体检验应包括混凝土强度、钢筋保护层厚度、结构位置与尺寸偏差以及合同约定的项目；必要时可检验其他项目。</w:t>
            </w: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sz w:val="24"/>
                <w:szCs w:val="24"/>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9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579"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1857"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41"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sz w:val="24"/>
                <w:szCs w:val="24"/>
                <w:lang w:val="en-US" w:eastAsia="zh-CN"/>
              </w:rPr>
            </w:pPr>
            <w:r>
              <w:rPr>
                <w:rFonts w:hint="eastAsia" w:ascii="黑体" w:hAnsi="黑体" w:eastAsia="黑体" w:cs="黑体"/>
                <w:b w:val="0"/>
                <w:bCs w:val="0"/>
                <w:color w:val="auto"/>
                <w:sz w:val="24"/>
                <w:szCs w:val="24"/>
              </w:rPr>
              <w:t>□不符合</w:t>
            </w:r>
          </w:p>
        </w:tc>
        <w:tc>
          <w:tcPr>
            <w:tcW w:w="1182" w:type="pct"/>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黑体" w:hAnsi="黑体" w:eastAsia="黑体" w:cs="黑体"/>
                <w:b w:val="0"/>
                <w:bCs w:val="0"/>
                <w:color w:val="0C0C0C"/>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35</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钢结构整体垂直度和整体平面弯曲度、钢网架挠度检验记录</w:t>
            </w:r>
          </w:p>
        </w:tc>
        <w:tc>
          <w:tcPr>
            <w:tcW w:w="1857" w:type="pct"/>
            <w:vMerge w:val="restar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《钢结构工程施工规范》GB50755-2012第14.4.2竖直钢柱安装时，应在相互垂直的两轴线方向上采用经纬仪，同时校测钢柱垂直度。第14.4.4条：钢屋架(桁架)安装后应有垂直度、直线度、标高、挠度(起拱)等实测记录。</w:t>
            </w:r>
          </w:p>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《钢结构工程施工质量验收标准》GB 50205-2020第11.3.1：钢网架、网壳结构总拼完成后及屋面工程完成后应分别测量其挠度值，且所测的挠度值不应超过相应荷载条件下挠度计算值的1.15倍。</w:t>
            </w: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36</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预应力筋的张拉、安装和灌浆记录</w:t>
            </w:r>
          </w:p>
        </w:tc>
        <w:tc>
          <w:tcPr>
            <w:tcW w:w="1857" w:type="pct"/>
            <w:vMerge w:val="restar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《混凝土结构工程施工规范》GB50666-2011第6.5.9：孔道灌浆应填写灌浆记录。</w:t>
            </w:r>
          </w:p>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《建筑与市政工程施工质量控制通用规范》GB55032-2022第3.3.4条第4款：隐蔽工程在隐蔽前应由施工单位通知监理单位进行验收，并应留存现场影像资料，形成验收文件，经验收合格后方可继续施工</w:t>
            </w: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285" w:type="pct"/>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val="0"/>
                <w:bCs w:val="0"/>
                <w:color w:val="0C0C0C"/>
                <w:sz w:val="24"/>
                <w:szCs w:val="24"/>
              </w:rPr>
            </w:pPr>
          </w:p>
        </w:tc>
        <w:tc>
          <w:tcPr>
            <w:tcW w:w="197"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kern w:val="2"/>
                <w:sz w:val="24"/>
                <w:szCs w:val="24"/>
                <w:lang w:val="en-US" w:eastAsia="zh-CN" w:bidi="ar-SA"/>
              </w:rPr>
              <w:t>37</w:t>
            </w:r>
            <w:r>
              <w:rPr>
                <w:rFonts w:hint="eastAsia" w:ascii="黑体" w:hAnsi="黑体" w:eastAsia="黑体" w:cs="黑体"/>
                <w:b w:val="0"/>
                <w:bCs w:val="0"/>
                <w:color w:val="0C0C0C"/>
                <w:sz w:val="24"/>
                <w:szCs w:val="24"/>
              </w:rPr>
              <w:t>★</w:t>
            </w:r>
          </w:p>
        </w:tc>
        <w:tc>
          <w:tcPr>
            <w:tcW w:w="579" w:type="pct"/>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0C0C0C"/>
                <w:sz w:val="24"/>
                <w:szCs w:val="24"/>
                <w:lang w:val="en-US" w:eastAsia="zh-CN"/>
              </w:rPr>
              <w:t>装配式灌浆套筒的影像资料</w:t>
            </w:r>
          </w:p>
        </w:tc>
        <w:tc>
          <w:tcPr>
            <w:tcW w:w="1857" w:type="pct"/>
            <w:vMerge w:val="restar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sz w:val="24"/>
                <w:szCs w:val="24"/>
              </w:rPr>
            </w:pPr>
            <w:r>
              <w:rPr>
                <w:rFonts w:hint="eastAsia" w:ascii="黑体" w:hAnsi="黑体" w:eastAsia="黑体" w:cs="黑体"/>
                <w:b w:val="0"/>
                <w:bCs w:val="0"/>
                <w:color w:val="0C0C0C"/>
                <w:kern w:val="2"/>
                <w:sz w:val="24"/>
                <w:szCs w:val="24"/>
                <w:lang w:val="en-US" w:eastAsia="zh-CN" w:bidi="ar-SA"/>
              </w:rPr>
              <w:t>《建筑与市政工程施工质量控制通用规范》GB55032-2022第3.3.4条第4款：隐蔽工程在隐蔽前应由施工单位通知监理单位进行验收，并应留存现场影像资料，形成验收文件，经验收合格后方可继续施工。</w:t>
            </w: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sz w:val="24"/>
                <w:szCs w:val="24"/>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jc w:val="center"/>
        </w:trPr>
        <w:tc>
          <w:tcPr>
            <w:tcW w:w="285"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9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579"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1857" w:type="pct"/>
            <w:vMerge w:val="continue"/>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41"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c>
          <w:tcPr>
            <w:tcW w:w="456" w:type="pct"/>
            <w:vAlign w:val="center"/>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□符合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C0C0C"/>
                <w:kern w:val="2"/>
                <w:sz w:val="24"/>
                <w:szCs w:val="24"/>
                <w:lang w:val="en-US" w:eastAsia="zh-CN" w:bidi="ar-SA"/>
              </w:rPr>
            </w:pPr>
            <w:r>
              <w:rPr>
                <w:rFonts w:hint="eastAsia" w:ascii="黑体" w:hAnsi="黑体" w:eastAsia="黑体" w:cs="黑体"/>
                <w:b w:val="0"/>
                <w:bCs w:val="0"/>
                <w:color w:val="auto"/>
                <w:sz w:val="24"/>
                <w:szCs w:val="24"/>
              </w:rPr>
              <w:t>□不符合</w:t>
            </w:r>
          </w:p>
        </w:tc>
        <w:tc>
          <w:tcPr>
            <w:tcW w:w="1182" w:type="pct"/>
            <w:vAlign w:val="center"/>
          </w:tcPr>
          <w:p>
            <w:pPr>
              <w:pStyle w:val="5"/>
              <w:keepNext w:val="0"/>
              <w:keepLines w:val="0"/>
              <w:widowControl/>
              <w:suppressLineNumbers w:val="0"/>
              <w:spacing w:before="0" w:beforeAutospacing="0" w:after="0" w:afterAutospacing="0"/>
              <w:ind w:left="0" w:right="0" w:firstLine="0"/>
              <w:jc w:val="left"/>
              <w:rPr>
                <w:rFonts w:hint="eastAsia" w:ascii="黑体" w:hAnsi="黑体" w:eastAsia="黑体" w:cs="黑体"/>
                <w:b w:val="0"/>
                <w:bCs w:val="0"/>
                <w:color w:val="0C0C0C"/>
                <w:kern w:val="2"/>
                <w:sz w:val="24"/>
                <w:szCs w:val="24"/>
                <w:lang w:val="en-US" w:eastAsia="zh-CN" w:bidi="ar-SA"/>
              </w:rPr>
            </w:pPr>
          </w:p>
        </w:tc>
      </w:tr>
    </w:tbl>
    <w:p>
      <w:pPr>
        <w:pStyle w:val="2"/>
        <w:keepNext w:val="0"/>
        <w:keepLines w:val="0"/>
        <w:pageBreakBefore w:val="0"/>
        <w:widowControl w:val="0"/>
        <w:kinsoku/>
        <w:wordWrap/>
        <w:overflowPunct/>
        <w:topLinePunct w:val="0"/>
        <w:autoSpaceDE w:val="0"/>
        <w:autoSpaceDN w:val="0"/>
        <w:bidi w:val="0"/>
        <w:adjustRightInd/>
        <w:snapToGrid/>
        <w:spacing w:before="313" w:beforeLines="100"/>
        <w:ind w:left="0" w:firstLine="0"/>
        <w:jc w:val="both"/>
        <w:textAlignment w:val="auto"/>
        <w:rPr>
          <w:rFonts w:hint="eastAsia" w:ascii="黑体" w:hAnsi="黑体" w:eastAsia="黑体" w:cs="仿宋"/>
          <w:color w:val="000000"/>
          <w:kern w:val="2"/>
          <w:sz w:val="24"/>
          <w:szCs w:val="24"/>
          <w:lang w:eastAsia="zh-CN"/>
        </w:rPr>
      </w:pPr>
      <w:bookmarkStart w:id="0" w:name="_GoBack"/>
      <w:bookmarkEnd w:id="0"/>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E3ZGMxMjcxZDRiMmM2NmQ5YTNmMzI0N2JkNDAyOGQifQ=="/>
  </w:docVars>
  <w:rsids>
    <w:rsidRoot w:val="00952D48"/>
    <w:rsid w:val="001F000F"/>
    <w:rsid w:val="008F5D6C"/>
    <w:rsid w:val="00952D48"/>
    <w:rsid w:val="00B96535"/>
    <w:rsid w:val="00C15B7F"/>
    <w:rsid w:val="00CD0ED5"/>
    <w:rsid w:val="01827C00"/>
    <w:rsid w:val="01C563DE"/>
    <w:rsid w:val="03280EF8"/>
    <w:rsid w:val="03CF5817"/>
    <w:rsid w:val="03E53E7D"/>
    <w:rsid w:val="044C6E68"/>
    <w:rsid w:val="046917C8"/>
    <w:rsid w:val="04936845"/>
    <w:rsid w:val="04DD5B2B"/>
    <w:rsid w:val="05A30D0A"/>
    <w:rsid w:val="05CA098C"/>
    <w:rsid w:val="05EC3EB4"/>
    <w:rsid w:val="06055740"/>
    <w:rsid w:val="067E2E92"/>
    <w:rsid w:val="06FE7082"/>
    <w:rsid w:val="07091040"/>
    <w:rsid w:val="08513AC3"/>
    <w:rsid w:val="08785439"/>
    <w:rsid w:val="087D0980"/>
    <w:rsid w:val="08974874"/>
    <w:rsid w:val="0AC90044"/>
    <w:rsid w:val="0BA31A63"/>
    <w:rsid w:val="0BBA3AD2"/>
    <w:rsid w:val="0C564D28"/>
    <w:rsid w:val="0CB56A46"/>
    <w:rsid w:val="0CCF4ADA"/>
    <w:rsid w:val="0D136775"/>
    <w:rsid w:val="0D4809CA"/>
    <w:rsid w:val="0D9B3985"/>
    <w:rsid w:val="0E9822E8"/>
    <w:rsid w:val="0E9C09EC"/>
    <w:rsid w:val="0FA222F2"/>
    <w:rsid w:val="10C009C2"/>
    <w:rsid w:val="11140D0D"/>
    <w:rsid w:val="11165AAF"/>
    <w:rsid w:val="139719D4"/>
    <w:rsid w:val="13DB5FC6"/>
    <w:rsid w:val="13FE0D0B"/>
    <w:rsid w:val="141561C5"/>
    <w:rsid w:val="14270D58"/>
    <w:rsid w:val="14824A9F"/>
    <w:rsid w:val="14A45268"/>
    <w:rsid w:val="153B2D0D"/>
    <w:rsid w:val="157C0DB9"/>
    <w:rsid w:val="15B13177"/>
    <w:rsid w:val="160142ED"/>
    <w:rsid w:val="163A75B6"/>
    <w:rsid w:val="16BE47F8"/>
    <w:rsid w:val="16DB3AE6"/>
    <w:rsid w:val="17312619"/>
    <w:rsid w:val="17742B3C"/>
    <w:rsid w:val="17EF7DDE"/>
    <w:rsid w:val="180513B0"/>
    <w:rsid w:val="182E24A4"/>
    <w:rsid w:val="18333A1E"/>
    <w:rsid w:val="18D314AE"/>
    <w:rsid w:val="18DB090F"/>
    <w:rsid w:val="19137AFC"/>
    <w:rsid w:val="196654F1"/>
    <w:rsid w:val="197A2BB3"/>
    <w:rsid w:val="1A475CB0"/>
    <w:rsid w:val="1AB64BE3"/>
    <w:rsid w:val="1B2637D0"/>
    <w:rsid w:val="1BCE12EF"/>
    <w:rsid w:val="1C3E1334"/>
    <w:rsid w:val="1CCB58EE"/>
    <w:rsid w:val="1CDD6D9F"/>
    <w:rsid w:val="1CFD1E78"/>
    <w:rsid w:val="1DA8115B"/>
    <w:rsid w:val="1E4738E2"/>
    <w:rsid w:val="1F332CA6"/>
    <w:rsid w:val="1F9A0F77"/>
    <w:rsid w:val="1FCB1131"/>
    <w:rsid w:val="1FD90595"/>
    <w:rsid w:val="202645B9"/>
    <w:rsid w:val="203A04C0"/>
    <w:rsid w:val="22D447A0"/>
    <w:rsid w:val="233543A3"/>
    <w:rsid w:val="248472B8"/>
    <w:rsid w:val="24D47DB8"/>
    <w:rsid w:val="253A4D8F"/>
    <w:rsid w:val="25473008"/>
    <w:rsid w:val="25790B10"/>
    <w:rsid w:val="257A33DD"/>
    <w:rsid w:val="257C3020"/>
    <w:rsid w:val="25B805A4"/>
    <w:rsid w:val="26234D89"/>
    <w:rsid w:val="264E75FD"/>
    <w:rsid w:val="26571970"/>
    <w:rsid w:val="276C4FA7"/>
    <w:rsid w:val="27C13545"/>
    <w:rsid w:val="28285372"/>
    <w:rsid w:val="285443B9"/>
    <w:rsid w:val="28706D19"/>
    <w:rsid w:val="291853E7"/>
    <w:rsid w:val="2A5F01E9"/>
    <w:rsid w:val="2A84310C"/>
    <w:rsid w:val="2B0A63DA"/>
    <w:rsid w:val="2C0E3CBB"/>
    <w:rsid w:val="2CE43832"/>
    <w:rsid w:val="2D83304B"/>
    <w:rsid w:val="30334130"/>
    <w:rsid w:val="30A13D39"/>
    <w:rsid w:val="3192160B"/>
    <w:rsid w:val="31921AAF"/>
    <w:rsid w:val="3291620A"/>
    <w:rsid w:val="32C51A10"/>
    <w:rsid w:val="3321133C"/>
    <w:rsid w:val="33DB56BC"/>
    <w:rsid w:val="3453371C"/>
    <w:rsid w:val="35040F15"/>
    <w:rsid w:val="35103416"/>
    <w:rsid w:val="35415D24"/>
    <w:rsid w:val="35D65E66"/>
    <w:rsid w:val="36274EBB"/>
    <w:rsid w:val="36797868"/>
    <w:rsid w:val="386F2FDB"/>
    <w:rsid w:val="38743CBC"/>
    <w:rsid w:val="388B0F8F"/>
    <w:rsid w:val="39137979"/>
    <w:rsid w:val="3995462E"/>
    <w:rsid w:val="39AC3031"/>
    <w:rsid w:val="3A296A43"/>
    <w:rsid w:val="3A84050A"/>
    <w:rsid w:val="3AC56EC9"/>
    <w:rsid w:val="3ADF07FD"/>
    <w:rsid w:val="3B742225"/>
    <w:rsid w:val="3C3E73E9"/>
    <w:rsid w:val="3C9A33D0"/>
    <w:rsid w:val="3C9C5ED7"/>
    <w:rsid w:val="3D3B22E2"/>
    <w:rsid w:val="3D7526FF"/>
    <w:rsid w:val="3DB50FFF"/>
    <w:rsid w:val="3ED9062B"/>
    <w:rsid w:val="3FAA26B9"/>
    <w:rsid w:val="40830429"/>
    <w:rsid w:val="40C8422E"/>
    <w:rsid w:val="40CA3CC0"/>
    <w:rsid w:val="4125649B"/>
    <w:rsid w:val="422774B2"/>
    <w:rsid w:val="453B0782"/>
    <w:rsid w:val="453C2005"/>
    <w:rsid w:val="4550160D"/>
    <w:rsid w:val="45705783"/>
    <w:rsid w:val="45B034B7"/>
    <w:rsid w:val="45F0701D"/>
    <w:rsid w:val="465D0485"/>
    <w:rsid w:val="475E79FC"/>
    <w:rsid w:val="477041E8"/>
    <w:rsid w:val="479E26CA"/>
    <w:rsid w:val="47BE31A6"/>
    <w:rsid w:val="48540412"/>
    <w:rsid w:val="494D36DF"/>
    <w:rsid w:val="4A631989"/>
    <w:rsid w:val="4B2A2CEA"/>
    <w:rsid w:val="4B301A19"/>
    <w:rsid w:val="4B533C05"/>
    <w:rsid w:val="4D140617"/>
    <w:rsid w:val="4D25662B"/>
    <w:rsid w:val="4E402B66"/>
    <w:rsid w:val="4E8A6587"/>
    <w:rsid w:val="4EC60864"/>
    <w:rsid w:val="4F716140"/>
    <w:rsid w:val="505B39ED"/>
    <w:rsid w:val="51A60F32"/>
    <w:rsid w:val="525B328B"/>
    <w:rsid w:val="52642B9B"/>
    <w:rsid w:val="5298591B"/>
    <w:rsid w:val="53334A48"/>
    <w:rsid w:val="53A244B7"/>
    <w:rsid w:val="53C57773"/>
    <w:rsid w:val="54890697"/>
    <w:rsid w:val="564E13D8"/>
    <w:rsid w:val="56604927"/>
    <w:rsid w:val="56AF0889"/>
    <w:rsid w:val="571E7565"/>
    <w:rsid w:val="59834D46"/>
    <w:rsid w:val="59AC10B0"/>
    <w:rsid w:val="5AD10D3C"/>
    <w:rsid w:val="5BE2525D"/>
    <w:rsid w:val="5C403D31"/>
    <w:rsid w:val="5D296EBB"/>
    <w:rsid w:val="5D2B6790"/>
    <w:rsid w:val="5D867528"/>
    <w:rsid w:val="5D9C2373"/>
    <w:rsid w:val="5DB70023"/>
    <w:rsid w:val="5DC866D4"/>
    <w:rsid w:val="5E072D15"/>
    <w:rsid w:val="5E96232F"/>
    <w:rsid w:val="5E974DDA"/>
    <w:rsid w:val="5F683CCB"/>
    <w:rsid w:val="5FF94923"/>
    <w:rsid w:val="60B22A8D"/>
    <w:rsid w:val="60B85C28"/>
    <w:rsid w:val="61F556D0"/>
    <w:rsid w:val="62031A89"/>
    <w:rsid w:val="630E1BDA"/>
    <w:rsid w:val="640D22D6"/>
    <w:rsid w:val="65766A16"/>
    <w:rsid w:val="66EB623D"/>
    <w:rsid w:val="66F23AA9"/>
    <w:rsid w:val="67544B35"/>
    <w:rsid w:val="67584625"/>
    <w:rsid w:val="67CA1662"/>
    <w:rsid w:val="67FB48BC"/>
    <w:rsid w:val="68AE3694"/>
    <w:rsid w:val="68D221B5"/>
    <w:rsid w:val="69DE389D"/>
    <w:rsid w:val="6A557B15"/>
    <w:rsid w:val="6A90057A"/>
    <w:rsid w:val="6AAC4962"/>
    <w:rsid w:val="6B0C2C93"/>
    <w:rsid w:val="6BEF2642"/>
    <w:rsid w:val="6C3F4006"/>
    <w:rsid w:val="6C6A6D7E"/>
    <w:rsid w:val="6C8F62A7"/>
    <w:rsid w:val="6CA218CA"/>
    <w:rsid w:val="6CFE4FF8"/>
    <w:rsid w:val="6D7952F5"/>
    <w:rsid w:val="6DF42BCE"/>
    <w:rsid w:val="6F4E5238"/>
    <w:rsid w:val="6F5F125D"/>
    <w:rsid w:val="6F912DCA"/>
    <w:rsid w:val="70180DF5"/>
    <w:rsid w:val="702F54FA"/>
    <w:rsid w:val="705A1D94"/>
    <w:rsid w:val="70A14979"/>
    <w:rsid w:val="70F32156"/>
    <w:rsid w:val="72D862DB"/>
    <w:rsid w:val="72FF66D9"/>
    <w:rsid w:val="730A395D"/>
    <w:rsid w:val="74365CEE"/>
    <w:rsid w:val="753A79B9"/>
    <w:rsid w:val="756C44E1"/>
    <w:rsid w:val="76067942"/>
    <w:rsid w:val="76216C4C"/>
    <w:rsid w:val="76D7365B"/>
    <w:rsid w:val="76F81981"/>
    <w:rsid w:val="77CE5240"/>
    <w:rsid w:val="781A2427"/>
    <w:rsid w:val="782C7B34"/>
    <w:rsid w:val="783B76C8"/>
    <w:rsid w:val="7A0A5C53"/>
    <w:rsid w:val="7A9B4AFD"/>
    <w:rsid w:val="7B5A20E1"/>
    <w:rsid w:val="7C0C5586"/>
    <w:rsid w:val="7C7C095E"/>
    <w:rsid w:val="7D016EE9"/>
    <w:rsid w:val="7DA57A41"/>
    <w:rsid w:val="7DD00F61"/>
    <w:rsid w:val="7E4234E1"/>
    <w:rsid w:val="7E8605BD"/>
    <w:rsid w:val="7F932247"/>
    <w:rsid w:val="7F947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toc 1"/>
    <w:basedOn w:val="1"/>
    <w:next w:val="1"/>
    <w:autoRedefine/>
    <w:qFormat/>
    <w:uiPriority w:val="39"/>
    <w:pPr>
      <w:autoSpaceDE w:val="0"/>
      <w:autoSpaceDN w:val="0"/>
      <w:spacing w:before="122"/>
      <w:ind w:left="1237" w:hanging="318"/>
      <w:jc w:val="left"/>
    </w:pPr>
    <w:rPr>
      <w:rFonts w:ascii="宋体" w:hAnsi="宋体" w:eastAsia="宋体" w:cs="宋体"/>
      <w:kern w:val="0"/>
      <w:szCs w:val="21"/>
      <w:lang w:eastAsia="en-US"/>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autoSpaceDE/>
      <w:autoSpaceDN/>
      <w:spacing w:before="100" w:beforeAutospacing="1" w:after="100" w:afterAutospacing="1"/>
    </w:pPr>
    <w:rPr>
      <w:sz w:val="24"/>
      <w:szCs w:val="24"/>
      <w:lang w:eastAsia="zh-CN"/>
    </w:r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9064</Words>
  <Characters>9977</Characters>
  <Lines>20</Lines>
  <Paragraphs>5</Paragraphs>
  <TotalTime>1</TotalTime>
  <ScaleCrop>false</ScaleCrop>
  <LinksUpToDate>false</LinksUpToDate>
  <CharactersWithSpaces>9990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2023-06-25T08:16:00Z</dcterms:created>
  <dc:creator>dd</dc:creator>
  <cp:lastModifiedBy>雷</cp:lastModifiedBy>
  <cp:lastPrinted>2024-06-12T01:29:00Z</cp:lastPrinted>
  <dcterms:modified xsi:type="dcterms:W3CDTF">2024-06-14T02:08:31Z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01DF2F7CEFE548619297F39DBCEA4F27_12</vt:lpwstr>
  </property>
</Properties>
</file>