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13BFE">
      <w:pPr>
        <w:pStyle w:val="27"/>
        <w:keepNext w:val="0"/>
        <w:keepLines w:val="0"/>
        <w:pageBreakBefore w:val="0"/>
        <w:widowControl w:val="0"/>
        <w:kinsoku/>
        <w:wordWrap/>
        <w:overflowPunct/>
        <w:topLinePunct w:val="0"/>
        <w:autoSpaceDE/>
        <w:autoSpaceDN/>
        <w:bidi w:val="0"/>
        <w:adjustRightInd/>
        <w:snapToGrid/>
        <w:spacing w:before="156" w:after="156" w:line="240" w:lineRule="auto"/>
        <w:ind w:firstLine="0" w:firstLineChars="0"/>
        <w:jc w:val="center"/>
        <w:textAlignment w:val="auto"/>
        <w:rPr>
          <w:bCs/>
          <w:sz w:val="52"/>
          <w:szCs w:val="44"/>
          <w:lang w:val="en-US"/>
        </w:rPr>
      </w:pPr>
    </w:p>
    <w:p w14:paraId="72F732D2">
      <w:pPr>
        <w:pStyle w:val="27"/>
        <w:keepNext w:val="0"/>
        <w:keepLines w:val="0"/>
        <w:pageBreakBefore w:val="0"/>
        <w:widowControl w:val="0"/>
        <w:kinsoku/>
        <w:wordWrap/>
        <w:overflowPunct/>
        <w:topLinePunct w:val="0"/>
        <w:autoSpaceDE/>
        <w:autoSpaceDN/>
        <w:bidi w:val="0"/>
        <w:adjustRightInd/>
        <w:snapToGrid/>
        <w:spacing w:before="156" w:after="156" w:line="240" w:lineRule="auto"/>
        <w:ind w:firstLine="0" w:firstLineChars="0"/>
        <w:jc w:val="center"/>
        <w:textAlignment w:val="auto"/>
        <w:rPr>
          <w:bCs/>
          <w:sz w:val="52"/>
          <w:szCs w:val="44"/>
          <w:lang w:val="en-US"/>
        </w:rPr>
      </w:pPr>
    </w:p>
    <w:p w14:paraId="1065A14C">
      <w:pPr>
        <w:pStyle w:val="27"/>
        <w:keepNext w:val="0"/>
        <w:keepLines w:val="0"/>
        <w:pageBreakBefore w:val="0"/>
        <w:widowControl w:val="0"/>
        <w:kinsoku/>
        <w:wordWrap/>
        <w:overflowPunct/>
        <w:topLinePunct w:val="0"/>
        <w:autoSpaceDE/>
        <w:autoSpaceDN/>
        <w:bidi w:val="0"/>
        <w:adjustRightInd/>
        <w:snapToGrid/>
        <w:spacing w:before="156" w:after="156" w:line="240" w:lineRule="auto"/>
        <w:ind w:firstLine="0" w:firstLineChars="0"/>
        <w:jc w:val="center"/>
        <w:textAlignment w:val="auto"/>
        <w:rPr>
          <w:bCs/>
          <w:sz w:val="52"/>
          <w:szCs w:val="44"/>
        </w:rPr>
      </w:pPr>
    </w:p>
    <w:p w14:paraId="25E98F97">
      <w:pPr>
        <w:pStyle w:val="27"/>
        <w:keepNext w:val="0"/>
        <w:keepLines w:val="0"/>
        <w:pageBreakBefore w:val="0"/>
        <w:widowControl w:val="0"/>
        <w:kinsoku/>
        <w:wordWrap/>
        <w:overflowPunct/>
        <w:topLinePunct w:val="0"/>
        <w:autoSpaceDE/>
        <w:autoSpaceDN/>
        <w:bidi w:val="0"/>
        <w:adjustRightInd/>
        <w:snapToGrid/>
        <w:spacing w:before="156" w:after="156" w:line="240" w:lineRule="auto"/>
        <w:ind w:firstLine="0" w:firstLineChars="0"/>
        <w:jc w:val="center"/>
        <w:textAlignment w:val="auto"/>
        <w:rPr>
          <w:bCs/>
          <w:sz w:val="52"/>
          <w:szCs w:val="44"/>
        </w:rPr>
      </w:pPr>
    </w:p>
    <w:p w14:paraId="32D0E8AB">
      <w:pPr>
        <w:spacing w:before="156" w:after="156" w:line="240" w:lineRule="auto"/>
        <w:ind w:firstLine="0" w:firstLineChars="0"/>
        <w:jc w:val="center"/>
        <w:rPr>
          <w:rFonts w:cs="Times New Roman"/>
          <w:b/>
          <w:bCs/>
          <w:sz w:val="52"/>
          <w:szCs w:val="44"/>
        </w:rPr>
      </w:pPr>
      <w:r>
        <w:rPr>
          <w:rFonts w:hint="eastAsia" w:cs="Times New Roman"/>
          <w:b/>
          <w:bCs/>
          <w:sz w:val="52"/>
          <w:szCs w:val="44"/>
        </w:rPr>
        <w:t>青岛市</w:t>
      </w:r>
      <w:r>
        <w:rPr>
          <w:rFonts w:cs="Times New Roman"/>
          <w:b/>
          <w:bCs/>
          <w:sz w:val="52"/>
          <w:szCs w:val="44"/>
        </w:rPr>
        <w:t>建筑信息模型</w:t>
      </w:r>
    </w:p>
    <w:p w14:paraId="137AC93B">
      <w:pPr>
        <w:spacing w:before="156" w:after="156" w:line="240" w:lineRule="auto"/>
        <w:ind w:firstLine="0" w:firstLineChars="0"/>
        <w:jc w:val="center"/>
        <w:rPr>
          <w:rFonts w:cs="Times New Roman"/>
          <w:b/>
          <w:bCs/>
          <w:sz w:val="52"/>
          <w:szCs w:val="44"/>
        </w:rPr>
      </w:pPr>
      <w:r>
        <w:rPr>
          <w:rFonts w:cs="Times New Roman"/>
          <w:b/>
          <w:bCs/>
          <w:sz w:val="52"/>
          <w:szCs w:val="44"/>
        </w:rPr>
        <w:t>数字化</w:t>
      </w:r>
      <w:r>
        <w:rPr>
          <w:rFonts w:hint="eastAsia" w:cs="Times New Roman"/>
          <w:b/>
          <w:bCs/>
          <w:sz w:val="52"/>
          <w:szCs w:val="44"/>
          <w:lang w:val="en-US" w:eastAsia="zh-CN"/>
        </w:rPr>
        <w:t>交付</w:t>
      </w:r>
      <w:r>
        <w:rPr>
          <w:rFonts w:cs="Times New Roman"/>
          <w:b/>
          <w:bCs/>
          <w:sz w:val="52"/>
          <w:szCs w:val="44"/>
        </w:rPr>
        <w:t>导则</w:t>
      </w:r>
    </w:p>
    <w:p w14:paraId="68869F7E">
      <w:pPr>
        <w:spacing w:before="156" w:after="156" w:line="240" w:lineRule="auto"/>
        <w:ind w:firstLine="0" w:firstLineChars="0"/>
        <w:jc w:val="center"/>
        <w:rPr>
          <w:rFonts w:hint="eastAsia" w:eastAsia="宋体" w:cs="Times New Roman"/>
          <w:b/>
          <w:bCs/>
          <w:sz w:val="52"/>
          <w:szCs w:val="44"/>
          <w:lang w:eastAsia="zh-CN"/>
        </w:rPr>
      </w:pPr>
      <w:r>
        <w:rPr>
          <w:rFonts w:hint="eastAsia" w:cs="Times New Roman"/>
          <w:b/>
          <w:bCs/>
          <w:sz w:val="52"/>
          <w:szCs w:val="44"/>
          <w:lang w:eastAsia="zh-CN"/>
        </w:rPr>
        <w:t>（</w:t>
      </w:r>
      <w:r>
        <w:rPr>
          <w:rFonts w:hint="eastAsia" w:cs="Times New Roman"/>
          <w:b/>
          <w:bCs/>
          <w:sz w:val="52"/>
          <w:szCs w:val="44"/>
          <w:lang w:val="en-US" w:eastAsia="zh-CN"/>
        </w:rPr>
        <w:t>试行</w:t>
      </w:r>
      <w:r>
        <w:rPr>
          <w:rFonts w:hint="eastAsia" w:cs="Times New Roman"/>
          <w:b/>
          <w:bCs/>
          <w:sz w:val="52"/>
          <w:szCs w:val="44"/>
          <w:lang w:eastAsia="zh-CN"/>
        </w:rPr>
        <w:t>）</w:t>
      </w:r>
    </w:p>
    <w:p w14:paraId="0FA1946B">
      <w:pPr>
        <w:pStyle w:val="27"/>
        <w:spacing w:before="156" w:after="156" w:line="240" w:lineRule="auto"/>
        <w:ind w:firstLine="0" w:firstLineChars="0"/>
        <w:rPr>
          <w:rFonts w:cs="Times New Roman"/>
          <w:b/>
          <w:bCs/>
          <w:sz w:val="52"/>
          <w:szCs w:val="44"/>
          <w:lang w:val="en-US"/>
        </w:rPr>
      </w:pPr>
      <w:bookmarkStart w:id="0" w:name="OLE_LINK1"/>
    </w:p>
    <w:p w14:paraId="44C79913">
      <w:pPr>
        <w:pStyle w:val="27"/>
        <w:spacing w:before="156" w:after="156" w:line="240" w:lineRule="auto"/>
        <w:ind w:firstLine="0" w:firstLineChars="0"/>
        <w:jc w:val="center"/>
        <w:rPr>
          <w:rFonts w:cs="Times New Roman"/>
          <w:bCs/>
          <w:sz w:val="52"/>
          <w:szCs w:val="44"/>
        </w:rPr>
      </w:pPr>
    </w:p>
    <w:p w14:paraId="38483D54">
      <w:pPr>
        <w:pStyle w:val="27"/>
        <w:spacing w:before="156" w:after="156" w:line="240" w:lineRule="auto"/>
        <w:ind w:firstLine="0" w:firstLineChars="0"/>
        <w:jc w:val="center"/>
        <w:rPr>
          <w:rFonts w:cs="Times New Roman"/>
          <w:bCs/>
          <w:sz w:val="52"/>
          <w:szCs w:val="44"/>
        </w:rPr>
      </w:pPr>
    </w:p>
    <w:p w14:paraId="466587AC">
      <w:pPr>
        <w:pStyle w:val="27"/>
        <w:spacing w:before="156" w:after="156" w:line="240" w:lineRule="auto"/>
        <w:ind w:firstLine="0" w:firstLineChars="0"/>
        <w:jc w:val="center"/>
        <w:rPr>
          <w:rFonts w:cs="Times New Roman"/>
          <w:bCs/>
          <w:sz w:val="52"/>
          <w:szCs w:val="44"/>
        </w:rPr>
      </w:pPr>
    </w:p>
    <w:p w14:paraId="4012A840">
      <w:pPr>
        <w:pStyle w:val="27"/>
        <w:spacing w:before="156" w:after="156" w:line="240" w:lineRule="auto"/>
        <w:ind w:firstLine="0" w:firstLineChars="0"/>
        <w:jc w:val="center"/>
        <w:rPr>
          <w:rFonts w:cs="Times New Roman"/>
          <w:bCs/>
          <w:sz w:val="52"/>
          <w:szCs w:val="44"/>
        </w:rPr>
      </w:pPr>
    </w:p>
    <w:p w14:paraId="36F7A163">
      <w:pPr>
        <w:pStyle w:val="27"/>
        <w:spacing w:before="156" w:after="156" w:line="240" w:lineRule="auto"/>
        <w:ind w:firstLine="0" w:firstLineChars="0"/>
        <w:jc w:val="both"/>
        <w:rPr>
          <w:rFonts w:cs="Times New Roman"/>
          <w:bCs/>
          <w:sz w:val="52"/>
          <w:szCs w:val="44"/>
        </w:rPr>
      </w:pPr>
    </w:p>
    <w:p w14:paraId="245C8CFB">
      <w:pPr>
        <w:pStyle w:val="27"/>
        <w:spacing w:before="156" w:after="156" w:line="240" w:lineRule="auto"/>
        <w:ind w:firstLine="0" w:firstLineChars="0"/>
        <w:jc w:val="both"/>
        <w:rPr>
          <w:rFonts w:cs="Times New Roman"/>
          <w:bCs/>
          <w:sz w:val="52"/>
          <w:szCs w:val="44"/>
        </w:rPr>
      </w:pPr>
    </w:p>
    <w:bookmarkEnd w:id="0"/>
    <w:p w14:paraId="359F6287">
      <w:pPr>
        <w:pStyle w:val="27"/>
        <w:spacing w:before="156" w:after="156" w:line="240" w:lineRule="auto"/>
        <w:ind w:firstLine="0" w:firstLineChars="0"/>
        <w:jc w:val="center"/>
        <w:rPr>
          <w:rFonts w:cs="Times New Roman"/>
          <w:b w:val="0"/>
          <w:bCs/>
          <w:sz w:val="28"/>
          <w:szCs w:val="28"/>
          <w:lang w:val="en-US"/>
        </w:rPr>
      </w:pPr>
      <w:r>
        <w:rPr>
          <w:rFonts w:hint="eastAsia" w:cs="Times New Roman"/>
          <w:b w:val="0"/>
          <w:bCs/>
          <w:sz w:val="28"/>
          <w:szCs w:val="28"/>
          <w:lang w:val="en-US"/>
        </w:rPr>
        <w:t>青岛市住房和城乡建设局</w:t>
      </w:r>
    </w:p>
    <w:p w14:paraId="3E9393E9">
      <w:pPr>
        <w:pStyle w:val="27"/>
        <w:spacing w:before="156" w:after="156" w:line="240" w:lineRule="auto"/>
        <w:ind w:firstLine="0" w:firstLineChars="0"/>
        <w:jc w:val="center"/>
        <w:rPr>
          <w:rFonts w:cs="Times New Roman"/>
          <w:b w:val="0"/>
          <w:bCs/>
          <w:sz w:val="28"/>
          <w:szCs w:val="28"/>
          <w:lang w:val="en-US"/>
        </w:rPr>
      </w:pPr>
      <w:r>
        <w:rPr>
          <w:rFonts w:hint="eastAsia" w:cs="Times New Roman"/>
          <w:b w:val="0"/>
          <w:bCs/>
          <w:sz w:val="28"/>
          <w:szCs w:val="28"/>
          <w:lang w:val="en-US"/>
        </w:rPr>
        <w:t>2024年</w:t>
      </w:r>
      <w:r>
        <w:rPr>
          <w:rFonts w:hint="eastAsia" w:cs="Times New Roman"/>
          <w:b w:val="0"/>
          <w:bCs/>
          <w:sz w:val="28"/>
          <w:szCs w:val="28"/>
          <w:lang w:val="en-US" w:eastAsia="zh-CN"/>
        </w:rPr>
        <w:t>10</w:t>
      </w:r>
      <w:r>
        <w:rPr>
          <w:rFonts w:hint="eastAsia" w:cs="Times New Roman"/>
          <w:b w:val="0"/>
          <w:bCs/>
          <w:sz w:val="28"/>
          <w:szCs w:val="28"/>
          <w:lang w:val="en-US"/>
        </w:rPr>
        <w:t>月</w:t>
      </w:r>
    </w:p>
    <w:p w14:paraId="3E9E1455">
      <w:pPr>
        <w:pStyle w:val="27"/>
        <w:spacing w:before="156" w:after="156" w:line="240" w:lineRule="auto"/>
        <w:ind w:firstLine="0" w:firstLineChars="0"/>
        <w:jc w:val="center"/>
        <w:rPr>
          <w:rFonts w:cs="Times New Roman"/>
          <w:bCs/>
          <w:sz w:val="52"/>
          <w:szCs w:val="44"/>
        </w:rPr>
      </w:pPr>
      <w:r>
        <w:rPr>
          <w:rFonts w:cs="Times New Roman"/>
          <w:bCs/>
          <w:sz w:val="52"/>
          <w:szCs w:val="44"/>
        </w:rPr>
        <w:br w:type="page"/>
      </w:r>
    </w:p>
    <w:p w14:paraId="64C85C89">
      <w:pPr>
        <w:widowControl/>
        <w:spacing w:before="326" w:after="163"/>
        <w:ind w:firstLine="0" w:firstLineChars="0"/>
        <w:jc w:val="center"/>
        <w:rPr>
          <w:rFonts w:ascii="Times New Roman" w:hAnsi="Times New Roman" w:cs="Times New Roman"/>
          <w:b/>
          <w:sz w:val="28"/>
          <w:szCs w:val="28"/>
        </w:rPr>
      </w:pPr>
      <w:r>
        <w:rPr>
          <w:rFonts w:ascii="Times New Roman" w:hAnsi="Times New Roman" w:cs="Times New Roman"/>
          <w:b/>
          <w:sz w:val="28"/>
          <w:szCs w:val="28"/>
        </w:rPr>
        <w:t>前</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言</w:t>
      </w:r>
    </w:p>
    <w:p w14:paraId="0D953D6B">
      <w:pPr>
        <w:spacing w:before="326" w:after="163"/>
        <w:ind w:firstLine="480"/>
        <w:rPr>
          <w:rFonts w:hint="eastAsia" w:ascii="Times New Roman" w:hAnsi="Times New Roman" w:eastAsia="宋体" w:cs="Times New Roman"/>
          <w:kern w:val="0"/>
          <w:lang w:eastAsia="zh-CN"/>
        </w:rPr>
      </w:pPr>
      <w:r>
        <w:rPr>
          <w:rFonts w:ascii="Times New Roman" w:hAnsi="Times New Roman" w:cs="Times New Roman"/>
          <w:kern w:val="0"/>
        </w:rPr>
        <w:t>为贯彻落实国家发展BIM技术的要求，推动建筑信息模型（BIM）技术在青岛市建筑工程中的应用，推进建筑业信息化和建筑产业现代化，促进建筑业转型升级和持续健康发展，</w:t>
      </w:r>
      <w:r>
        <w:rPr>
          <w:rFonts w:hint="default" w:ascii="Times New Roman" w:hAnsi="Times New Roman" w:cs="Times New Roman"/>
          <w:kern w:val="0"/>
        </w:rPr>
        <w:t>在青岛市住房和城乡建设领域，由青岛市住建局牵头，集中市工程建设各领域头部企业，按照</w:t>
      </w:r>
      <w:r>
        <w:rPr>
          <w:rFonts w:hint="eastAsia" w:ascii="Times New Roman" w:hAnsi="Times New Roman" w:cs="Times New Roman"/>
          <w:kern w:val="0"/>
          <w:lang w:eastAsia="zh-CN"/>
        </w:rPr>
        <w:t>“</w:t>
      </w:r>
      <w:r>
        <w:rPr>
          <w:rFonts w:hint="default" w:ascii="Times New Roman" w:hAnsi="Times New Roman" w:cs="Times New Roman"/>
          <w:kern w:val="0"/>
        </w:rPr>
        <w:t>政策有实效、科技有实用、试点有实景、产业有实体、企业有实力</w:t>
      </w:r>
      <w:r>
        <w:rPr>
          <w:rFonts w:hint="eastAsia" w:ascii="Times New Roman" w:hAnsi="Times New Roman" w:cs="Times New Roman"/>
          <w:kern w:val="0"/>
          <w:lang w:eastAsia="zh-CN"/>
        </w:rPr>
        <w:t>”</w:t>
      </w:r>
      <w:r>
        <w:rPr>
          <w:rFonts w:hint="default" w:ascii="Times New Roman" w:hAnsi="Times New Roman" w:cs="Times New Roman"/>
          <w:kern w:val="0"/>
        </w:rPr>
        <w:t>的工作导向，着力建机制夯基础、谋求长远实效，构建了基于BIM技术的规划、设计、施工和交付的全生命周期管理体系</w:t>
      </w:r>
      <w:r>
        <w:rPr>
          <w:rFonts w:hint="eastAsia" w:ascii="Times New Roman" w:hAnsi="Times New Roman" w:cs="Times New Roman"/>
          <w:kern w:val="0"/>
          <w:lang w:eastAsia="zh-CN"/>
        </w:rPr>
        <w:t>。</w:t>
      </w:r>
    </w:p>
    <w:p w14:paraId="74FE35BC">
      <w:pPr>
        <w:spacing w:before="326" w:after="163"/>
        <w:ind w:firstLine="480"/>
        <w:rPr>
          <w:rFonts w:hint="eastAsia" w:ascii="Times New Roman" w:hAnsi="Times New Roman" w:eastAsia="宋体" w:cs="Times New Roman"/>
          <w:kern w:val="0"/>
          <w:lang w:eastAsia="zh-CN"/>
        </w:rPr>
      </w:pPr>
      <w:r>
        <w:rPr>
          <w:rFonts w:hint="eastAsia" w:ascii="Times New Roman" w:hAnsi="Times New Roman" w:cs="Times New Roman"/>
          <w:kern w:val="0"/>
          <w:lang w:val="en-US" w:eastAsia="zh-CN"/>
        </w:rPr>
        <w:t>导则</w:t>
      </w:r>
      <w:r>
        <w:rPr>
          <w:rFonts w:hint="default" w:ascii="Times New Roman" w:hAnsi="Times New Roman" w:cs="Times New Roman"/>
          <w:kern w:val="0"/>
        </w:rPr>
        <w:t>编制组经调查研究，认真总结实践经验，参考国内相关标准，广泛征求建设主管部门、</w:t>
      </w:r>
      <w:r>
        <w:rPr>
          <w:rFonts w:hint="eastAsia" w:ascii="Times New Roman" w:hAnsi="Times New Roman" w:cs="Times New Roman"/>
          <w:kern w:val="0"/>
          <w:lang w:val="en-US" w:eastAsia="zh-CN"/>
        </w:rPr>
        <w:t>勘察单位、</w:t>
      </w:r>
      <w:r>
        <w:rPr>
          <w:rFonts w:hint="default" w:ascii="Times New Roman" w:hAnsi="Times New Roman" w:cs="Times New Roman"/>
          <w:kern w:val="0"/>
        </w:rPr>
        <w:t>设计单位、建设单位、施工图审查单位、信息化领域专家等有关方面意见，组织进行专题研讨，最终完成了本导则</w:t>
      </w:r>
      <w:r>
        <w:rPr>
          <w:rFonts w:hint="eastAsia" w:ascii="Times New Roman" w:hAnsi="Times New Roman" w:cs="Times New Roman"/>
          <w:kern w:val="0"/>
          <w:lang w:eastAsia="zh-CN"/>
        </w:rPr>
        <w:t>。</w:t>
      </w:r>
    </w:p>
    <w:p w14:paraId="6CA7B256">
      <w:pPr>
        <w:spacing w:before="326" w:after="163"/>
        <w:ind w:firstLine="480"/>
        <w:rPr>
          <w:rFonts w:ascii="Times New Roman" w:hAnsi="Times New Roman" w:cs="Times New Roman"/>
          <w:b/>
          <w:bCs/>
          <w:kern w:val="0"/>
        </w:rPr>
      </w:pPr>
      <w:r>
        <w:rPr>
          <w:rFonts w:hint="eastAsia" w:ascii="Times New Roman" w:hAnsi="Times New Roman" w:cs="Times New Roman"/>
          <w:kern w:val="0"/>
          <w:lang w:val="en-US" w:eastAsia="zh-CN"/>
        </w:rPr>
        <w:t>本</w:t>
      </w:r>
      <w:r>
        <w:rPr>
          <w:rFonts w:hint="default" w:ascii="Times New Roman" w:hAnsi="Times New Roman" w:cs="Times New Roman"/>
          <w:kern w:val="0"/>
        </w:rPr>
        <w:t>导则包含总则、术语</w:t>
      </w:r>
      <w:r>
        <w:rPr>
          <w:rFonts w:hint="eastAsia" w:ascii="Times New Roman" w:hAnsi="Times New Roman" w:cs="Times New Roman"/>
          <w:kern w:val="0"/>
          <w:lang w:val="en-US" w:eastAsia="zh-CN"/>
        </w:rPr>
        <w:t>及缩略语</w:t>
      </w:r>
      <w:r>
        <w:rPr>
          <w:rFonts w:hint="default" w:ascii="Times New Roman" w:hAnsi="Times New Roman" w:cs="Times New Roman"/>
          <w:kern w:val="0"/>
        </w:rPr>
        <w:t>、基本规定、</w:t>
      </w:r>
      <w:r>
        <w:rPr>
          <w:rFonts w:hint="eastAsia" w:ascii="Times New Roman" w:hAnsi="Times New Roman" w:cs="Times New Roman"/>
          <w:kern w:val="0"/>
          <w:lang w:val="en-US" w:eastAsia="zh-CN"/>
        </w:rPr>
        <w:t>交付内容</w:t>
      </w:r>
      <w:r>
        <w:rPr>
          <w:rFonts w:hint="default" w:ascii="Times New Roman" w:hAnsi="Times New Roman" w:cs="Times New Roman"/>
          <w:kern w:val="0"/>
        </w:rPr>
        <w:t>、</w:t>
      </w:r>
      <w:r>
        <w:rPr>
          <w:rFonts w:hint="eastAsia" w:ascii="Times New Roman" w:hAnsi="Times New Roman" w:cs="Times New Roman"/>
          <w:kern w:val="0"/>
          <w:lang w:val="en-US" w:eastAsia="zh-CN"/>
        </w:rPr>
        <w:t>成果归档、交付物及要求</w:t>
      </w:r>
      <w:r>
        <w:rPr>
          <w:rFonts w:hint="default" w:ascii="Times New Roman" w:hAnsi="Times New Roman" w:cs="Times New Roman"/>
          <w:kern w:val="0"/>
        </w:rPr>
        <w:t>等内容。</w:t>
      </w:r>
    </w:p>
    <w:p w14:paraId="1BDFEB2D">
      <w:pPr>
        <w:spacing w:before="326" w:after="163"/>
        <w:ind w:firstLine="480"/>
        <w:rPr>
          <w:rFonts w:ascii="Times New Roman" w:hAnsi="Times New Roman" w:cs="Times New Roman"/>
          <w:kern w:val="0"/>
        </w:rPr>
      </w:pPr>
      <w:r>
        <w:rPr>
          <w:rFonts w:ascii="Times New Roman" w:hAnsi="Times New Roman" w:cs="Times New Roman"/>
          <w:kern w:val="0"/>
        </w:rPr>
        <w:t>本导则由</w:t>
      </w:r>
      <w:r>
        <w:rPr>
          <w:rFonts w:ascii="Times New Roman" w:hAnsi="Times New Roman" w:cs="Times New Roman"/>
        </w:rPr>
        <w:t>青岛市住房和城乡建设局</w:t>
      </w:r>
      <w:r>
        <w:rPr>
          <w:rFonts w:ascii="Times New Roman" w:hAnsi="Times New Roman" w:cs="Times New Roman"/>
          <w:kern w:val="0"/>
        </w:rPr>
        <w:t>负责管理，由主编单位负责具体技术内容的解释。</w:t>
      </w:r>
    </w:p>
    <w:p w14:paraId="0196B197">
      <w:pPr>
        <w:spacing w:before="326" w:after="163"/>
        <w:ind w:firstLine="480"/>
        <w:rPr>
          <w:rFonts w:ascii="Times New Roman" w:hAnsi="Times New Roman" w:cs="Times New Roman"/>
          <w:kern w:val="0"/>
        </w:rPr>
      </w:pPr>
      <w:r>
        <w:rPr>
          <w:rFonts w:ascii="Times New Roman" w:hAnsi="Times New Roman" w:cs="Times New Roman"/>
          <w:kern w:val="0"/>
        </w:rPr>
        <w:t>本导则</w:t>
      </w:r>
      <w:r>
        <w:rPr>
          <w:rFonts w:hint="eastAsia" w:ascii="Times New Roman" w:hAnsi="Times New Roman" w:cs="Times New Roman"/>
          <w:kern w:val="0"/>
          <w:lang w:val="en-US" w:eastAsia="zh-CN"/>
        </w:rPr>
        <w:t>组织单位、</w:t>
      </w:r>
      <w:r>
        <w:rPr>
          <w:rFonts w:ascii="Times New Roman" w:hAnsi="Times New Roman" w:cs="Times New Roman"/>
          <w:kern w:val="0"/>
        </w:rPr>
        <w:t>主编单位、参编单位、主要起草人、主要审查人：</w:t>
      </w:r>
    </w:p>
    <w:p w14:paraId="5122C8D6">
      <w:pPr>
        <w:spacing w:before="326" w:after="163"/>
        <w:ind w:firstLine="480"/>
        <w:rPr>
          <w:rFonts w:hint="eastAsia" w:ascii="Times New Roman" w:hAnsi="Times New Roman" w:eastAsia="宋体" w:cs="Times New Roman"/>
          <w:kern w:val="0"/>
          <w:lang w:val="en-US" w:eastAsia="zh-CN"/>
        </w:rPr>
      </w:pPr>
      <w:r>
        <w:rPr>
          <w:rFonts w:hint="eastAsia" w:ascii="Times New Roman" w:hAnsi="Times New Roman" w:cs="Times New Roman"/>
          <w:kern w:val="0"/>
          <w:lang w:val="en-US" w:eastAsia="zh-CN"/>
        </w:rPr>
        <w:t>组织单位：青岛市住房和城乡建设局</w:t>
      </w:r>
    </w:p>
    <w:p w14:paraId="2358BE8E">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hint="default" w:ascii="Times New Roman" w:hAnsi="Times New Roman" w:cs="Times New Roman"/>
          <w:kern w:val="0"/>
        </w:rPr>
      </w:pPr>
      <w:r>
        <w:rPr>
          <w:rFonts w:ascii="Times New Roman" w:hAnsi="Times New Roman" w:cs="Times New Roman"/>
          <w:kern w:val="0"/>
        </w:rPr>
        <w:t>主编单位：</w:t>
      </w:r>
      <w:r>
        <w:rPr>
          <w:rFonts w:hint="default" w:ascii="Times New Roman" w:hAnsi="Times New Roman" w:cs="Times New Roman"/>
          <w:kern w:val="0"/>
        </w:rPr>
        <w:t>青岛市民用建筑设计院有限公司</w:t>
      </w:r>
    </w:p>
    <w:p w14:paraId="71BDA9F7">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青岛腾远设计事务所有限公司</w:t>
      </w:r>
    </w:p>
    <w:p w14:paraId="147BC35D">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青建集团股份公司</w:t>
      </w:r>
    </w:p>
    <w:p w14:paraId="5F01E5E6">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荣华建设集团有限公司</w:t>
      </w:r>
    </w:p>
    <w:p w14:paraId="2923667F">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青岛习远咨询有限公司</w:t>
      </w:r>
    </w:p>
    <w:p w14:paraId="16E69519">
      <w:pPr>
        <w:keepNext w:val="0"/>
        <w:keepLines w:val="0"/>
        <w:pageBreakBefore w:val="0"/>
        <w:widowControl w:val="0"/>
        <w:kinsoku/>
        <w:wordWrap/>
        <w:overflowPunct/>
        <w:topLinePunct w:val="0"/>
        <w:autoSpaceDE/>
        <w:autoSpaceDN/>
        <w:bidi w:val="0"/>
        <w:adjustRightInd/>
        <w:snapToGrid w:val="0"/>
        <w:spacing w:before="326" w:after="163" w:line="360" w:lineRule="auto"/>
        <w:ind w:firstLine="480"/>
        <w:textAlignment w:val="auto"/>
        <w:rPr>
          <w:rFonts w:ascii="Times New Roman" w:hAnsi="Times New Roman" w:cs="Times New Roman"/>
          <w:kern w:val="0"/>
        </w:rPr>
      </w:pPr>
      <w:r>
        <w:rPr>
          <w:rFonts w:ascii="Times New Roman" w:hAnsi="Times New Roman" w:cs="Times New Roman"/>
          <w:kern w:val="0"/>
        </w:rPr>
        <w:t>参编单位：</w:t>
      </w:r>
      <w:r>
        <w:rPr>
          <w:rFonts w:hint="default" w:ascii="Times New Roman" w:hAnsi="Times New Roman" w:cs="Times New Roman"/>
          <w:kern w:val="0"/>
        </w:rPr>
        <w:t>海纳云物联科技有限公司</w:t>
      </w:r>
    </w:p>
    <w:p w14:paraId="4FF03AC9">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青岛海骊住居科技股份有限公司</w:t>
      </w:r>
    </w:p>
    <w:p w14:paraId="60BD2180">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中建八局第四建设有限公司</w:t>
      </w:r>
    </w:p>
    <w:p w14:paraId="43F5ACCF">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青岛理工大学</w:t>
      </w:r>
    </w:p>
    <w:p w14:paraId="61B119BB">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零一通智</w:t>
      </w:r>
      <w:r>
        <w:rPr>
          <w:rFonts w:hint="eastAsia" w:cs="Times New Roman"/>
          <w:kern w:val="0"/>
          <w:lang w:eastAsia="zh-CN"/>
        </w:rPr>
        <w:t>（</w:t>
      </w:r>
      <w:r>
        <w:rPr>
          <w:rFonts w:hint="default" w:ascii="Times New Roman" w:hAnsi="Times New Roman" w:cs="Times New Roman"/>
          <w:kern w:val="0"/>
        </w:rPr>
        <w:t>青岛</w:t>
      </w:r>
      <w:r>
        <w:rPr>
          <w:rFonts w:hint="eastAsia" w:cs="Times New Roman"/>
          <w:kern w:val="0"/>
          <w:lang w:eastAsia="zh-CN"/>
        </w:rPr>
        <w:t>）</w:t>
      </w:r>
      <w:r>
        <w:rPr>
          <w:rFonts w:hint="default" w:ascii="Times New Roman" w:hAnsi="Times New Roman" w:cs="Times New Roman"/>
          <w:kern w:val="0"/>
        </w:rPr>
        <w:t>数字科技有限公司</w:t>
      </w:r>
    </w:p>
    <w:p w14:paraId="0B251EC7">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中青建安建设集团有限公司</w:t>
      </w:r>
    </w:p>
    <w:p w14:paraId="67A97A0E">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铁设院</w:t>
      </w:r>
      <w:r>
        <w:rPr>
          <w:rFonts w:hint="eastAsia" w:cs="Times New Roman"/>
          <w:kern w:val="0"/>
          <w:lang w:eastAsia="zh-CN"/>
        </w:rPr>
        <w:t>（</w:t>
      </w:r>
      <w:r>
        <w:rPr>
          <w:rFonts w:hint="default" w:ascii="Times New Roman" w:hAnsi="Times New Roman" w:cs="Times New Roman"/>
          <w:kern w:val="0"/>
        </w:rPr>
        <w:t>山东</w:t>
      </w:r>
      <w:r>
        <w:rPr>
          <w:rFonts w:hint="eastAsia" w:cs="Times New Roman"/>
          <w:kern w:val="0"/>
          <w:lang w:eastAsia="zh-CN"/>
        </w:rPr>
        <w:t>）</w:t>
      </w:r>
      <w:r>
        <w:rPr>
          <w:rFonts w:hint="default" w:ascii="Times New Roman" w:hAnsi="Times New Roman" w:cs="Times New Roman"/>
          <w:kern w:val="0"/>
        </w:rPr>
        <w:t>工程科技有限公司</w:t>
      </w:r>
    </w:p>
    <w:p w14:paraId="1E7BFB2A">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青岛城发数字科技有限公司</w:t>
      </w:r>
    </w:p>
    <w:p w14:paraId="29749578">
      <w:pPr>
        <w:keepNext w:val="0"/>
        <w:keepLines w:val="0"/>
        <w:pageBreakBefore w:val="0"/>
        <w:widowControl w:val="0"/>
        <w:kinsoku/>
        <w:wordWrap/>
        <w:overflowPunct/>
        <w:topLinePunct w:val="0"/>
        <w:autoSpaceDE/>
        <w:autoSpaceDN/>
        <w:bidi w:val="0"/>
        <w:adjustRightInd/>
        <w:snapToGrid w:val="0"/>
        <w:spacing w:before="326" w:after="163" w:line="360" w:lineRule="auto"/>
        <w:ind w:left="0" w:leftChars="0" w:firstLine="1680" w:firstLineChars="700"/>
        <w:textAlignment w:val="auto"/>
        <w:rPr>
          <w:rFonts w:hint="default" w:ascii="Times New Roman" w:hAnsi="Times New Roman" w:cs="Times New Roman"/>
          <w:kern w:val="0"/>
        </w:rPr>
      </w:pPr>
      <w:r>
        <w:rPr>
          <w:rFonts w:hint="default" w:ascii="Times New Roman" w:hAnsi="Times New Roman" w:cs="Times New Roman"/>
          <w:kern w:val="0"/>
        </w:rPr>
        <w:t>中昌数智工程管理</w:t>
      </w:r>
      <w:r>
        <w:rPr>
          <w:rFonts w:hint="eastAsia" w:cs="Times New Roman"/>
          <w:kern w:val="0"/>
          <w:lang w:eastAsia="zh-CN"/>
        </w:rPr>
        <w:t>（</w:t>
      </w:r>
      <w:r>
        <w:rPr>
          <w:rFonts w:hint="default" w:ascii="Times New Roman" w:hAnsi="Times New Roman" w:cs="Times New Roman"/>
          <w:kern w:val="0"/>
        </w:rPr>
        <w:t>山东</w:t>
      </w:r>
      <w:r>
        <w:rPr>
          <w:rFonts w:hint="eastAsia" w:cs="Times New Roman"/>
          <w:kern w:val="0"/>
          <w:lang w:eastAsia="zh-CN"/>
        </w:rPr>
        <w:t>）</w:t>
      </w:r>
      <w:r>
        <w:rPr>
          <w:rFonts w:hint="default" w:ascii="Times New Roman" w:hAnsi="Times New Roman" w:cs="Times New Roman"/>
          <w:kern w:val="0"/>
        </w:rPr>
        <w:t>有限公司</w:t>
      </w:r>
    </w:p>
    <w:p w14:paraId="7C57821B">
      <w:pPr>
        <w:keepNext w:val="0"/>
        <w:keepLines w:val="0"/>
        <w:pageBreakBefore w:val="0"/>
        <w:widowControl w:val="0"/>
        <w:kinsoku/>
        <w:wordWrap/>
        <w:overflowPunct/>
        <w:topLinePunct w:val="0"/>
        <w:autoSpaceDE/>
        <w:autoSpaceDN/>
        <w:bidi w:val="0"/>
        <w:adjustRightInd/>
        <w:spacing w:before="326" w:after="163" w:line="360" w:lineRule="auto"/>
        <w:ind w:left="0" w:leftChars="0" w:firstLine="1680" w:firstLineChars="700"/>
        <w:textAlignment w:val="auto"/>
        <w:rPr>
          <w:rFonts w:hint="eastAsia" w:ascii="Times New Roman" w:hAnsi="Times New Roman" w:eastAsia="宋体" w:cs="Times New Roman"/>
          <w:kern w:val="0"/>
          <w:lang w:eastAsia="zh-CN"/>
        </w:rPr>
      </w:pPr>
      <w:r>
        <w:rPr>
          <w:rFonts w:hint="eastAsia" w:ascii="Times New Roman" w:hAnsi="Times New Roman" w:cs="Times New Roman"/>
          <w:kern w:val="0"/>
          <w:lang w:eastAsia="zh-CN"/>
        </w:rPr>
        <w:t>（</w:t>
      </w:r>
      <w:r>
        <w:rPr>
          <w:rFonts w:hint="eastAsia" w:ascii="Times New Roman" w:hAnsi="Times New Roman" w:cs="Times New Roman"/>
          <w:kern w:val="0"/>
          <w:lang w:val="en-US" w:eastAsia="zh-CN"/>
        </w:rPr>
        <w:t>排名不分先后</w:t>
      </w:r>
      <w:r>
        <w:rPr>
          <w:rFonts w:hint="eastAsia" w:ascii="Times New Roman" w:hAnsi="Times New Roman" w:cs="Times New Roman"/>
          <w:kern w:val="0"/>
          <w:lang w:eastAsia="zh-CN"/>
        </w:rPr>
        <w:t>）</w:t>
      </w:r>
    </w:p>
    <w:tbl>
      <w:tblPr>
        <w:tblStyle w:val="18"/>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39"/>
        <w:gridCol w:w="6667"/>
      </w:tblGrid>
      <w:tr w14:paraId="0D357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vAlign w:val="top"/>
          </w:tcPr>
          <w:p w14:paraId="6CEFD154">
            <w:pPr>
              <w:keepNext w:val="0"/>
              <w:keepLines w:val="0"/>
              <w:pageBreakBefore w:val="0"/>
              <w:widowControl w:val="0"/>
              <w:kinsoku/>
              <w:wordWrap/>
              <w:overflowPunct/>
              <w:topLinePunct w:val="0"/>
              <w:autoSpaceDE/>
              <w:autoSpaceDN/>
              <w:bidi w:val="0"/>
              <w:adjustRightInd/>
              <w:snapToGrid/>
              <w:spacing w:before="32" w:beforeLines="10" w:after="163"/>
              <w:ind w:firstLine="0" w:firstLineChars="0"/>
              <w:jc w:val="both"/>
              <w:textAlignment w:val="auto"/>
              <w:rPr>
                <w:rFonts w:ascii="Times New Roman" w:hAnsi="Times New Roman" w:cs="Times New Roman"/>
                <w:kern w:val="0"/>
              </w:rPr>
            </w:pPr>
            <w:r>
              <w:rPr>
                <w:rFonts w:ascii="Times New Roman" w:hAnsi="Times New Roman" w:cs="Times New Roman"/>
                <w:kern w:val="0"/>
              </w:rPr>
              <w:t>主要起草人：</w:t>
            </w:r>
          </w:p>
        </w:tc>
        <w:tc>
          <w:tcPr>
            <w:tcW w:w="6667" w:type="dxa"/>
            <w:vAlign w:val="top"/>
          </w:tcPr>
          <w:p w14:paraId="61DEE4E0">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126" w:beforeLines="40" w:after="0" w:line="360" w:lineRule="auto"/>
              <w:ind w:firstLine="0" w:firstLineChars="0"/>
              <w:jc w:val="left"/>
              <w:textAlignment w:val="auto"/>
              <w:rPr>
                <w:rFonts w:ascii="Times New Roman" w:hAnsi="Times New Roman" w:cs="Times New Roman"/>
              </w:rPr>
            </w:pPr>
            <w:bookmarkStart w:id="1" w:name="OLE_LINK4"/>
            <w:r>
              <w:rPr>
                <w:rFonts w:hint="default" w:ascii="Times New Roman" w:hAnsi="Times New Roman" w:eastAsia="宋体" w:cs="Times New Roman"/>
                <w:spacing w:val="120"/>
                <w:kern w:val="0"/>
                <w:fitText w:val="720" w:id="1106331087"/>
              </w:rPr>
              <w:t>季</w:t>
            </w:r>
            <w:r>
              <w:rPr>
                <w:rFonts w:hint="default" w:ascii="Times New Roman" w:hAnsi="Times New Roman" w:eastAsia="宋体" w:cs="Times New Roman"/>
                <w:spacing w:val="0"/>
                <w:kern w:val="0"/>
                <w:fitText w:val="720" w:id="1106331087"/>
              </w:rPr>
              <w:t>方</w:t>
            </w:r>
            <w:r>
              <w:tab/>
            </w:r>
            <w:r>
              <w:rPr>
                <w:rFonts w:hint="default" w:ascii="Times New Roman" w:hAnsi="Times New Roman" w:eastAsia="宋体" w:cs="Times New Roman"/>
                <w:spacing w:val="120"/>
                <w:kern w:val="0"/>
                <w:fitText w:val="720" w:id="1337213079"/>
              </w:rPr>
              <w:t>徐</w:t>
            </w:r>
            <w:r>
              <w:rPr>
                <w:rFonts w:hint="default" w:ascii="Times New Roman" w:hAnsi="Times New Roman" w:eastAsia="宋体" w:cs="Times New Roman"/>
                <w:spacing w:val="0"/>
                <w:kern w:val="0"/>
                <w:fitText w:val="720" w:id="1337213079"/>
              </w:rPr>
              <w:t>刚</w:t>
            </w:r>
            <w:r>
              <w:tab/>
            </w:r>
            <w:r>
              <w:rPr>
                <w:rFonts w:hint="eastAsia"/>
                <w:lang w:val="en-US" w:eastAsia="zh-CN"/>
              </w:rPr>
              <w:t>柴伟龙</w:t>
            </w:r>
            <w:bookmarkStart w:id="2" w:name="OLE_LINK6"/>
            <w:r>
              <w:tab/>
            </w:r>
            <w:bookmarkEnd w:id="2"/>
            <w:r>
              <w:rPr>
                <w:rFonts w:hint="eastAsia"/>
                <w:lang w:val="en-US" w:eastAsia="zh-CN"/>
              </w:rPr>
              <w:t>任海雷</w:t>
            </w:r>
            <w:r>
              <w:tab/>
            </w:r>
            <w:r>
              <w:rPr>
                <w:rFonts w:hint="eastAsia"/>
                <w:spacing w:val="120"/>
                <w:kern w:val="0"/>
                <w:fitText w:val="720" w:id="946161686"/>
                <w:lang w:val="en-US" w:eastAsia="zh-CN"/>
              </w:rPr>
              <w:t>王</w:t>
            </w:r>
            <w:r>
              <w:rPr>
                <w:rFonts w:hint="eastAsia"/>
                <w:spacing w:val="0"/>
                <w:kern w:val="0"/>
                <w:fitText w:val="720" w:id="946161686"/>
                <w:lang w:val="en-US" w:eastAsia="zh-CN"/>
              </w:rPr>
              <w:t>胜</w:t>
            </w:r>
            <w:r>
              <w:tab/>
            </w:r>
            <w:r>
              <w:rPr>
                <w:rFonts w:hint="eastAsia"/>
                <w:lang w:val="en-US" w:eastAsia="zh-CN"/>
              </w:rPr>
              <w:t>尹祥宇</w:t>
            </w:r>
            <w:r>
              <w:tab/>
            </w:r>
            <w:r>
              <w:rPr>
                <w:rFonts w:hint="default" w:ascii="Times New Roman" w:hAnsi="Times New Roman" w:cs="Times New Roman"/>
              </w:rPr>
              <w:t>杨自统</w:t>
            </w:r>
            <w:r>
              <w:rPr>
                <w:rFonts w:hint="default" w:ascii="Times New Roman" w:hAnsi="Times New Roman" w:cs="Times New Roman"/>
                <w:spacing w:val="0"/>
                <w:kern w:val="0"/>
                <w:fitText w:val="720" w:id="426131664"/>
              </w:rPr>
              <w:t>王永燕</w:t>
            </w:r>
            <w:r>
              <w:tab/>
            </w:r>
            <w:r>
              <w:rPr>
                <w:rFonts w:hint="eastAsia"/>
                <w:highlight w:val="none"/>
                <w:shd w:val="clear"/>
                <w:lang w:val="en-US" w:eastAsia="zh-CN"/>
              </w:rPr>
              <w:t>仇勇军</w:t>
            </w:r>
            <w:r>
              <w:rPr>
                <w:highlight w:val="none"/>
                <w:shd w:val="clear"/>
              </w:rPr>
              <w:tab/>
            </w:r>
            <w:r>
              <w:rPr>
                <w:rFonts w:hint="eastAsia"/>
                <w:spacing w:val="120"/>
                <w:kern w:val="0"/>
                <w:highlight w:val="none"/>
                <w:shd w:val="clear"/>
                <w:fitText w:val="720" w:id="1654668125"/>
              </w:rPr>
              <w:t>昌</w:t>
            </w:r>
            <w:r>
              <w:rPr>
                <w:rFonts w:hint="eastAsia"/>
                <w:spacing w:val="0"/>
                <w:kern w:val="0"/>
                <w:highlight w:val="none"/>
                <w:shd w:val="clear"/>
                <w:fitText w:val="720" w:id="1654668125"/>
              </w:rPr>
              <w:t>翔</w:t>
            </w:r>
            <w:bookmarkEnd w:id="1"/>
            <w:r>
              <w:tab/>
            </w:r>
            <w:r>
              <w:rPr>
                <w:rFonts w:hint="default" w:ascii="Times New Roman" w:hAnsi="Times New Roman" w:eastAsia="宋体" w:cs="Times New Roman"/>
                <w:spacing w:val="0"/>
                <w:kern w:val="0"/>
                <w:fitText w:val="720" w:id="693986865"/>
              </w:rPr>
              <w:t>王</w:t>
            </w:r>
            <w:r>
              <w:rPr>
                <w:rFonts w:hint="eastAsia" w:ascii="Times New Roman" w:hAnsi="Times New Roman" w:eastAsia="宋体" w:cs="Times New Roman"/>
                <w:spacing w:val="0"/>
                <w:kern w:val="0"/>
                <w:fitText w:val="720" w:id="693986865"/>
                <w:lang w:val="en-US" w:eastAsia="zh-CN"/>
              </w:rPr>
              <w:t xml:space="preserve">  </w:t>
            </w:r>
            <w:r>
              <w:rPr>
                <w:rFonts w:hint="default" w:ascii="Times New Roman" w:hAnsi="Times New Roman" w:eastAsia="宋体" w:cs="Times New Roman"/>
                <w:spacing w:val="0"/>
                <w:kern w:val="0"/>
                <w:fitText w:val="720" w:id="693986865"/>
              </w:rPr>
              <w:t>胜</w:t>
            </w:r>
            <w:r>
              <w:tab/>
            </w:r>
            <w:r>
              <w:rPr>
                <w:rFonts w:hint="default"/>
              </w:rPr>
              <w:t>尹祥宇</w:t>
            </w:r>
            <w:r>
              <w:tab/>
            </w:r>
            <w:r>
              <w:rPr>
                <w:rFonts w:hint="eastAsia"/>
                <w:lang w:val="en-US" w:eastAsia="zh-CN"/>
              </w:rPr>
              <w:t>吕昌</w:t>
            </w:r>
            <w:r>
              <w:rPr>
                <w:rFonts w:hint="default"/>
              </w:rPr>
              <w:t>昌</w:t>
            </w:r>
            <w:r>
              <w:tab/>
            </w:r>
            <w:r>
              <w:rPr>
                <w:rFonts w:hint="default"/>
              </w:rPr>
              <w:t>石运超</w:t>
            </w:r>
            <w:r>
              <w:rPr>
                <w:rFonts w:hint="default" w:ascii="Times New Roman" w:hAnsi="Times New Roman" w:eastAsia="宋体" w:cs="Times New Roman"/>
                <w:spacing w:val="0"/>
                <w:kern w:val="0"/>
                <w:fitText w:val="720" w:id="2065251444"/>
              </w:rPr>
              <w:t>史浩良</w:t>
            </w:r>
            <w:r>
              <w:tab/>
            </w:r>
            <w:r>
              <w:rPr>
                <w:rFonts w:hint="default" w:ascii="Times New Roman" w:hAnsi="Times New Roman" w:eastAsia="宋体" w:cs="Times New Roman"/>
                <w:spacing w:val="0"/>
                <w:kern w:val="0"/>
                <w:fitText w:val="720" w:id="1543860637"/>
              </w:rPr>
              <w:t>孙婷婷</w:t>
            </w:r>
            <w:r>
              <w:tab/>
            </w:r>
            <w:r>
              <w:rPr>
                <w:rFonts w:hint="default" w:ascii="Times New Roman" w:hAnsi="Times New Roman" w:eastAsia="宋体" w:cs="Times New Roman"/>
                <w:spacing w:val="0"/>
                <w:kern w:val="0"/>
                <w:fitText w:val="720" w:id="1047020227"/>
              </w:rPr>
              <w:t>陈</w:t>
            </w:r>
            <w:r>
              <w:rPr>
                <w:rFonts w:hint="eastAsia" w:ascii="Times New Roman" w:hAnsi="Times New Roman" w:eastAsia="宋体" w:cs="Times New Roman"/>
                <w:spacing w:val="0"/>
                <w:kern w:val="0"/>
                <w:fitText w:val="720" w:id="1047020227"/>
                <w:lang w:val="en-US" w:eastAsia="zh-CN"/>
              </w:rPr>
              <w:t xml:space="preserve">  </w:t>
            </w:r>
            <w:r>
              <w:rPr>
                <w:rFonts w:hint="default" w:ascii="Times New Roman" w:hAnsi="Times New Roman" w:eastAsia="宋体" w:cs="Times New Roman"/>
                <w:spacing w:val="0"/>
                <w:kern w:val="0"/>
                <w:fitText w:val="720" w:id="1047020227"/>
              </w:rPr>
              <w:t>凯</w:t>
            </w:r>
            <w:r>
              <w:tab/>
            </w:r>
            <w:r>
              <w:rPr>
                <w:rFonts w:hint="default" w:ascii="Times New Roman" w:hAnsi="Times New Roman" w:eastAsia="宋体" w:cs="Times New Roman"/>
                <w:spacing w:val="0"/>
                <w:kern w:val="0"/>
                <w:fitText w:val="720" w:id="922306783"/>
              </w:rPr>
              <w:t>董芳岳</w:t>
            </w:r>
            <w:r>
              <w:tab/>
            </w:r>
            <w:r>
              <w:rPr>
                <w:rFonts w:hint="default"/>
                <w:spacing w:val="120"/>
                <w:kern w:val="0"/>
                <w:fitText w:val="720" w:id="867069270"/>
              </w:rPr>
              <w:t>翟</w:t>
            </w:r>
            <w:r>
              <w:rPr>
                <w:rFonts w:hint="default"/>
                <w:spacing w:val="0"/>
                <w:kern w:val="0"/>
                <w:fitText w:val="720" w:id="867069270"/>
              </w:rPr>
              <w:t>倩</w:t>
            </w:r>
            <w:r>
              <w:tab/>
            </w:r>
            <w:r>
              <w:rPr>
                <w:rFonts w:hint="default"/>
              </w:rPr>
              <w:t>石继斌</w:t>
            </w:r>
            <w:r>
              <w:tab/>
            </w:r>
            <w:r>
              <w:rPr>
                <w:rFonts w:hint="default"/>
              </w:rPr>
              <w:t>卢磊强刘会俊</w:t>
            </w:r>
            <w:r>
              <w:tab/>
            </w:r>
            <w:r>
              <w:rPr>
                <w:rFonts w:hint="default" w:ascii="Times New Roman" w:hAnsi="Times New Roman" w:eastAsia="宋体" w:cs="Times New Roman"/>
                <w:spacing w:val="0"/>
                <w:kern w:val="0"/>
                <w:fitText w:val="720" w:id="693986865"/>
              </w:rPr>
              <w:t>孙</w:t>
            </w:r>
            <w:r>
              <w:rPr>
                <w:rFonts w:hint="eastAsia" w:ascii="Times New Roman" w:hAnsi="Times New Roman" w:eastAsia="宋体" w:cs="Times New Roman"/>
                <w:spacing w:val="0"/>
                <w:kern w:val="0"/>
                <w:fitText w:val="720" w:id="693986865"/>
                <w:lang w:val="en-US" w:eastAsia="zh-CN"/>
              </w:rPr>
              <w:t xml:space="preserve">  </w:t>
            </w:r>
            <w:r>
              <w:rPr>
                <w:rFonts w:hint="default" w:ascii="Times New Roman" w:hAnsi="Times New Roman" w:eastAsia="宋体" w:cs="Times New Roman"/>
                <w:spacing w:val="0"/>
                <w:kern w:val="0"/>
                <w:fitText w:val="720" w:id="693986865"/>
              </w:rPr>
              <w:t>杰</w:t>
            </w:r>
            <w:r>
              <w:tab/>
            </w:r>
            <w:r>
              <w:rPr>
                <w:rFonts w:hint="default"/>
              </w:rPr>
              <w:t>纪尚俊</w:t>
            </w:r>
            <w:r>
              <w:tab/>
            </w:r>
            <w:r>
              <w:rPr>
                <w:rFonts w:hint="eastAsia" w:cs="Times New Roman"/>
                <w:spacing w:val="120"/>
                <w:kern w:val="0"/>
                <w:fitText w:val="720" w:id="1828652960"/>
                <w:lang w:val="en-US" w:eastAsia="zh-CN"/>
              </w:rPr>
              <w:t>邱</w:t>
            </w:r>
            <w:r>
              <w:rPr>
                <w:rFonts w:hint="eastAsia" w:cs="Times New Roman"/>
                <w:spacing w:val="0"/>
                <w:kern w:val="0"/>
                <w:fitText w:val="720" w:id="1828652960"/>
                <w:lang w:val="en-US" w:eastAsia="zh-CN"/>
              </w:rPr>
              <w:t>实</w:t>
            </w:r>
            <w:r>
              <w:tab/>
            </w:r>
            <w:r>
              <w:rPr>
                <w:rFonts w:hint="default"/>
              </w:rPr>
              <w:t>张晓茹</w:t>
            </w:r>
            <w:r>
              <w:tab/>
            </w:r>
            <w:r>
              <w:rPr>
                <w:rFonts w:hint="default"/>
              </w:rPr>
              <w:t>陈明栋</w:t>
            </w:r>
            <w:r>
              <w:tab/>
            </w:r>
            <w:r>
              <w:rPr>
                <w:rFonts w:hint="default" w:ascii="Times New Roman" w:hAnsi="Times New Roman" w:eastAsia="宋体" w:cs="Times New Roman"/>
                <w:spacing w:val="120"/>
                <w:kern w:val="0"/>
                <w:fitText w:val="720" w:id="693986865"/>
              </w:rPr>
              <w:t>蒋</w:t>
            </w:r>
            <w:r>
              <w:rPr>
                <w:rFonts w:hint="default" w:ascii="Times New Roman" w:hAnsi="Times New Roman" w:eastAsia="宋体" w:cs="Times New Roman"/>
                <w:spacing w:val="0"/>
                <w:kern w:val="0"/>
                <w:fitText w:val="720" w:id="693986865"/>
              </w:rPr>
              <w:t>斌</w:t>
            </w:r>
          </w:p>
        </w:tc>
      </w:tr>
      <w:tr w14:paraId="3D352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9" w:type="dxa"/>
            <w:shd w:val="clear" w:color="auto" w:fill="auto"/>
            <w:vAlign w:val="top"/>
          </w:tcPr>
          <w:p w14:paraId="1B940F75">
            <w:pPr>
              <w:keepNext w:val="0"/>
              <w:keepLines w:val="0"/>
              <w:pageBreakBefore w:val="0"/>
              <w:widowControl w:val="0"/>
              <w:tabs>
                <w:tab w:val="left" w:pos="922"/>
              </w:tabs>
              <w:kinsoku/>
              <w:wordWrap/>
              <w:overflowPunct/>
              <w:topLinePunct w:val="0"/>
              <w:autoSpaceDE/>
              <w:autoSpaceDN/>
              <w:bidi w:val="0"/>
              <w:adjustRightInd/>
              <w:snapToGrid/>
              <w:spacing w:before="95" w:beforeLines="30" w:after="163" w:line="336" w:lineRule="auto"/>
              <w:ind w:firstLine="0" w:firstLineChars="0"/>
              <w:textAlignment w:val="auto"/>
              <w:rPr>
                <w:rFonts w:ascii="Times New Roman" w:hAnsi="Times New Roman" w:eastAsia="宋体" w:cs="Times New Roman"/>
                <w:kern w:val="0"/>
                <w:sz w:val="24"/>
                <w:szCs w:val="22"/>
                <w:lang w:val="en-US" w:eastAsia="zh-CN" w:bidi="ar-SA"/>
              </w:rPr>
            </w:pPr>
            <w:r>
              <w:rPr>
                <w:rFonts w:hint="eastAsia" w:ascii="宋体" w:hAnsi="宋体" w:eastAsia="宋体" w:cs="宋体"/>
                <w:kern w:val="0"/>
                <w:sz w:val="24"/>
                <w:szCs w:val="24"/>
              </w:rPr>
              <w:t>主要</w:t>
            </w:r>
            <w:r>
              <w:rPr>
                <w:rFonts w:hint="eastAsia" w:ascii="宋体" w:hAnsi="宋体" w:eastAsia="宋体" w:cs="宋体"/>
                <w:kern w:val="0"/>
                <w:sz w:val="24"/>
                <w:szCs w:val="24"/>
                <w:lang w:val="en-US" w:eastAsia="zh-CN"/>
              </w:rPr>
              <w:t>审查</w:t>
            </w:r>
            <w:r>
              <w:rPr>
                <w:rFonts w:hint="eastAsia" w:ascii="宋体" w:hAnsi="宋体" w:eastAsia="宋体" w:cs="宋体"/>
                <w:kern w:val="0"/>
                <w:sz w:val="24"/>
                <w:szCs w:val="24"/>
              </w:rPr>
              <w:t>人</w:t>
            </w:r>
            <w:r>
              <w:rPr>
                <w:rFonts w:hint="eastAsia" w:ascii="宋体" w:hAnsi="宋体" w:eastAsia="宋体" w:cs="宋体"/>
                <w:kern w:val="0"/>
                <w:sz w:val="24"/>
                <w:szCs w:val="24"/>
                <w:lang w:eastAsia="zh-CN"/>
              </w:rPr>
              <w:t>：</w:t>
            </w:r>
          </w:p>
        </w:tc>
        <w:tc>
          <w:tcPr>
            <w:tcW w:w="6667" w:type="dxa"/>
            <w:shd w:val="clear" w:color="auto" w:fill="auto"/>
            <w:vAlign w:val="top"/>
          </w:tcPr>
          <w:p w14:paraId="7139A8AF">
            <w:pPr>
              <w:keepNext w:val="0"/>
              <w:keepLines w:val="0"/>
              <w:pageBreakBefore w:val="0"/>
              <w:widowControl w:val="0"/>
              <w:tabs>
                <w:tab w:val="left" w:pos="921"/>
                <w:tab w:val="left" w:pos="1842"/>
                <w:tab w:val="left" w:pos="2763"/>
                <w:tab w:val="left" w:pos="3685"/>
                <w:tab w:val="left" w:pos="4607"/>
                <w:tab w:val="left" w:pos="5529"/>
              </w:tabs>
              <w:kinsoku/>
              <w:wordWrap/>
              <w:overflowPunct/>
              <w:topLinePunct w:val="0"/>
              <w:autoSpaceDE/>
              <w:autoSpaceDN/>
              <w:bidi w:val="0"/>
              <w:adjustRightInd/>
              <w:snapToGrid w:val="0"/>
              <w:spacing w:before="157" w:beforeLines="50" w:after="0" w:afterLines="0" w:line="360" w:lineRule="auto"/>
              <w:ind w:firstLine="0" w:firstLineChars="0"/>
              <w:jc w:val="left"/>
              <w:textAlignment w:val="auto"/>
              <w:rPr>
                <w:rFonts w:hint="eastAsia" w:ascii="Times New Roman" w:hAnsi="Times New Roman" w:eastAsia="宋体" w:cs="Times New Roman"/>
                <w:kern w:val="2"/>
                <w:sz w:val="24"/>
                <w:szCs w:val="22"/>
                <w:lang w:val="en-US" w:eastAsia="zh-CN" w:bidi="ar-SA"/>
              </w:rPr>
            </w:pPr>
            <w:r>
              <w:rPr>
                <w:rFonts w:hint="eastAsia" w:ascii="宋体" w:hAnsi="宋体" w:eastAsia="宋体" w:cs="宋体"/>
                <w:spacing w:val="0"/>
                <w:kern w:val="0"/>
                <w:sz w:val="24"/>
                <w:szCs w:val="24"/>
                <w:fitText w:val="720" w:id="637942858"/>
                <w:lang w:val="en-US" w:eastAsia="zh-CN"/>
              </w:rPr>
              <w:t>张建平</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750999639"/>
                <w:lang w:val="en-US" w:eastAsia="zh-CN"/>
              </w:rPr>
              <w:t>于</w:t>
            </w:r>
            <w:r>
              <w:rPr>
                <w:rFonts w:hint="eastAsia" w:ascii="宋体" w:hAnsi="宋体" w:eastAsia="宋体" w:cs="宋体"/>
                <w:spacing w:val="0"/>
                <w:kern w:val="0"/>
                <w:sz w:val="24"/>
                <w:szCs w:val="24"/>
                <w:fitText w:val="720" w:id="750999639"/>
                <w:lang w:val="en-US" w:eastAsia="zh-CN"/>
              </w:rPr>
              <w:t>洁</w:t>
            </w:r>
            <w:r>
              <w:rPr>
                <w:rFonts w:hint="eastAsia" w:ascii="宋体" w:hAnsi="宋体" w:eastAsia="宋体" w:cs="宋体"/>
                <w:sz w:val="24"/>
                <w:szCs w:val="24"/>
              </w:rPr>
              <w:tab/>
            </w:r>
            <w:r>
              <w:rPr>
                <w:rFonts w:hint="eastAsia" w:ascii="宋体" w:hAnsi="宋体" w:eastAsia="宋体" w:cs="宋体"/>
                <w:kern w:val="0"/>
                <w:sz w:val="24"/>
                <w:szCs w:val="24"/>
                <w:lang w:val="en-US" w:eastAsia="zh-CN"/>
              </w:rPr>
              <w:t>李云贵</w:t>
            </w:r>
            <w:r>
              <w:rPr>
                <w:rFonts w:hint="eastAsia" w:ascii="宋体" w:hAnsi="宋体" w:eastAsia="宋体" w:cs="宋体"/>
                <w:sz w:val="24"/>
                <w:szCs w:val="24"/>
              </w:rPr>
              <w:tab/>
            </w:r>
            <w:r>
              <w:rPr>
                <w:rFonts w:hint="eastAsia" w:ascii="宋体" w:hAnsi="宋体" w:eastAsia="宋体" w:cs="宋体"/>
                <w:spacing w:val="120"/>
                <w:kern w:val="0"/>
                <w:sz w:val="24"/>
                <w:szCs w:val="24"/>
                <w:fitText w:val="720" w:id="542932882"/>
                <w:lang w:val="en-US" w:eastAsia="zh-CN"/>
              </w:rPr>
              <w:t>孟</w:t>
            </w:r>
            <w:r>
              <w:rPr>
                <w:rFonts w:hint="eastAsia" w:ascii="宋体" w:hAnsi="宋体" w:eastAsia="宋体" w:cs="宋体"/>
                <w:spacing w:val="0"/>
                <w:kern w:val="0"/>
                <w:sz w:val="24"/>
                <w:szCs w:val="24"/>
                <w:fitText w:val="720" w:id="542932882"/>
                <w:lang w:val="en-US" w:eastAsia="zh-CN"/>
              </w:rPr>
              <w:t>坤</w:t>
            </w:r>
            <w:r>
              <w:rPr>
                <w:rFonts w:hint="eastAsia" w:ascii="宋体" w:hAnsi="宋体" w:eastAsia="宋体" w:cs="宋体"/>
                <w:sz w:val="24"/>
                <w:szCs w:val="24"/>
              </w:rPr>
              <w:tab/>
            </w:r>
            <w:r>
              <w:rPr>
                <w:rFonts w:hint="eastAsia" w:ascii="宋体" w:hAnsi="宋体" w:eastAsia="宋体" w:cs="宋体"/>
                <w:kern w:val="0"/>
                <w:sz w:val="24"/>
                <w:szCs w:val="24"/>
                <w:lang w:val="en-US" w:eastAsia="zh-CN"/>
              </w:rPr>
              <w:t>魏振华</w:t>
            </w:r>
          </w:p>
        </w:tc>
      </w:tr>
    </w:tbl>
    <w:p w14:paraId="6A535B7E">
      <w:pPr>
        <w:spacing w:before="156" w:after="156"/>
        <w:ind w:firstLine="480"/>
        <w:rPr>
          <w:rFonts w:cs="Times New Roman"/>
        </w:rPr>
      </w:pPr>
    </w:p>
    <w:p w14:paraId="4776A8BF">
      <w:pPr>
        <w:widowControl/>
        <w:spacing w:beforeLines="0" w:afterLines="0" w:line="240" w:lineRule="auto"/>
        <w:ind w:firstLine="0" w:firstLineChars="0"/>
        <w:jc w:val="left"/>
        <w:rPr>
          <w:rFonts w:cs="Times New Roman"/>
          <w:b/>
          <w:sz w:val="28"/>
        </w:rPr>
      </w:pPr>
      <w:r>
        <w:rPr>
          <w:rFonts w:cs="Times New Roman"/>
          <w:b/>
          <w:sz w:val="28"/>
        </w:rPr>
        <w:br w:type="page"/>
      </w:r>
    </w:p>
    <w:p w14:paraId="2E348B0B">
      <w:pPr>
        <w:widowControl/>
        <w:spacing w:before="156" w:after="156"/>
        <w:ind w:firstLine="562"/>
        <w:jc w:val="center"/>
        <w:rPr>
          <w:rFonts w:cs="Times New Roman"/>
          <w:b/>
          <w:sz w:val="28"/>
        </w:rPr>
      </w:pPr>
      <w:r>
        <w:rPr>
          <w:rFonts w:cs="Times New Roman"/>
          <w:b/>
          <w:sz w:val="28"/>
        </w:rPr>
        <w:t>目  次</w:t>
      </w:r>
    </w:p>
    <w:p w14:paraId="68E0967A">
      <w:pPr>
        <w:pStyle w:val="13"/>
        <w:tabs>
          <w:tab w:val="right" w:leader="dot" w:pos="8306"/>
        </w:tabs>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r>
        <w:rPr>
          <w:rFonts w:cs="Times New Roman"/>
          <w:szCs w:val="24"/>
        </w:rPr>
        <w:fldChar w:fldCharType="begin"/>
      </w:r>
      <w:r>
        <w:rPr>
          <w:rFonts w:cs="Times New Roman"/>
          <w:szCs w:val="24"/>
        </w:rPr>
        <w:instrText xml:space="preserve"> HYPERLINK \l _Toc9287 </w:instrText>
      </w:r>
      <w:r>
        <w:rPr>
          <w:rFonts w:cs="Times New Roman"/>
          <w:szCs w:val="24"/>
        </w:rPr>
        <w:fldChar w:fldCharType="separate"/>
      </w:r>
      <w:r>
        <w:rPr>
          <w:rFonts w:cs="Times New Roman"/>
        </w:rPr>
        <w:t>1  总则</w:t>
      </w:r>
      <w:r>
        <w:tab/>
      </w:r>
      <w:r>
        <w:fldChar w:fldCharType="begin"/>
      </w:r>
      <w:r>
        <w:instrText xml:space="preserve"> PAGEREF _Toc9287 \h </w:instrText>
      </w:r>
      <w:r>
        <w:fldChar w:fldCharType="separate"/>
      </w:r>
      <w:r>
        <w:t>5</w:t>
      </w:r>
      <w:r>
        <w:fldChar w:fldCharType="end"/>
      </w:r>
      <w:r>
        <w:rPr>
          <w:rFonts w:cs="Times New Roman"/>
          <w:szCs w:val="24"/>
        </w:rPr>
        <w:fldChar w:fldCharType="end"/>
      </w:r>
    </w:p>
    <w:p w14:paraId="4CE0D397">
      <w:pPr>
        <w:pStyle w:val="13"/>
        <w:tabs>
          <w:tab w:val="right" w:leader="dot" w:pos="8306"/>
        </w:tabs>
      </w:pPr>
      <w:r>
        <w:rPr>
          <w:rFonts w:cs="Times New Roman"/>
          <w:szCs w:val="24"/>
        </w:rPr>
        <w:fldChar w:fldCharType="begin"/>
      </w:r>
      <w:r>
        <w:rPr>
          <w:rFonts w:cs="Times New Roman"/>
          <w:szCs w:val="24"/>
        </w:rPr>
        <w:instrText xml:space="preserve"> HYPERLINK \l _Toc4977 </w:instrText>
      </w:r>
      <w:r>
        <w:rPr>
          <w:rFonts w:cs="Times New Roman"/>
          <w:szCs w:val="24"/>
        </w:rPr>
        <w:fldChar w:fldCharType="separate"/>
      </w:r>
      <w:r>
        <w:rPr>
          <w:rFonts w:cs="Times New Roman"/>
        </w:rPr>
        <w:t xml:space="preserve">2  </w:t>
      </w:r>
      <w:r>
        <w:rPr>
          <w:rFonts w:cs="Times New Roman"/>
          <w:bCs/>
        </w:rPr>
        <w:t>术语及缩略语</w:t>
      </w:r>
      <w:r>
        <w:tab/>
      </w:r>
      <w:r>
        <w:fldChar w:fldCharType="begin"/>
      </w:r>
      <w:r>
        <w:instrText xml:space="preserve"> PAGEREF _Toc4977 \h </w:instrText>
      </w:r>
      <w:r>
        <w:fldChar w:fldCharType="separate"/>
      </w:r>
      <w:r>
        <w:t>6</w:t>
      </w:r>
      <w:r>
        <w:fldChar w:fldCharType="end"/>
      </w:r>
      <w:r>
        <w:rPr>
          <w:rFonts w:cs="Times New Roman"/>
          <w:szCs w:val="24"/>
        </w:rPr>
        <w:fldChar w:fldCharType="end"/>
      </w:r>
    </w:p>
    <w:p w14:paraId="76F54317">
      <w:pPr>
        <w:pStyle w:val="14"/>
        <w:tabs>
          <w:tab w:val="right" w:leader="dot" w:pos="8306"/>
        </w:tabs>
      </w:pPr>
      <w:r>
        <w:rPr>
          <w:rFonts w:cs="Times New Roman"/>
          <w:szCs w:val="24"/>
        </w:rPr>
        <w:fldChar w:fldCharType="begin"/>
      </w:r>
      <w:r>
        <w:rPr>
          <w:rFonts w:cs="Times New Roman"/>
          <w:szCs w:val="24"/>
        </w:rPr>
        <w:instrText xml:space="preserve"> HYPERLINK \l _Toc21586 </w:instrText>
      </w:r>
      <w:r>
        <w:rPr>
          <w:rFonts w:cs="Times New Roman"/>
          <w:szCs w:val="24"/>
        </w:rPr>
        <w:fldChar w:fldCharType="separate"/>
      </w:r>
      <w:r>
        <w:rPr>
          <w:rFonts w:cs="Times New Roman"/>
        </w:rPr>
        <w:t>2.1  术语</w:t>
      </w:r>
      <w:r>
        <w:tab/>
      </w:r>
      <w:r>
        <w:fldChar w:fldCharType="begin"/>
      </w:r>
      <w:r>
        <w:instrText xml:space="preserve"> PAGEREF _Toc21586 \h </w:instrText>
      </w:r>
      <w:r>
        <w:fldChar w:fldCharType="separate"/>
      </w:r>
      <w:r>
        <w:t>6</w:t>
      </w:r>
      <w:r>
        <w:fldChar w:fldCharType="end"/>
      </w:r>
      <w:r>
        <w:rPr>
          <w:rFonts w:cs="Times New Roman"/>
          <w:szCs w:val="24"/>
        </w:rPr>
        <w:fldChar w:fldCharType="end"/>
      </w:r>
    </w:p>
    <w:p w14:paraId="5BA7DCCC">
      <w:pPr>
        <w:pStyle w:val="14"/>
        <w:tabs>
          <w:tab w:val="right" w:leader="dot" w:pos="8306"/>
        </w:tabs>
      </w:pPr>
      <w:r>
        <w:rPr>
          <w:rFonts w:cs="Times New Roman"/>
          <w:szCs w:val="24"/>
        </w:rPr>
        <w:fldChar w:fldCharType="begin"/>
      </w:r>
      <w:r>
        <w:rPr>
          <w:rFonts w:cs="Times New Roman"/>
          <w:szCs w:val="24"/>
        </w:rPr>
        <w:instrText xml:space="preserve"> HYPERLINK \l _Toc20224 </w:instrText>
      </w:r>
      <w:r>
        <w:rPr>
          <w:rFonts w:cs="Times New Roman"/>
          <w:szCs w:val="24"/>
        </w:rPr>
        <w:fldChar w:fldCharType="separate"/>
      </w:r>
      <w:r>
        <w:rPr>
          <w:rFonts w:cs="Times New Roman"/>
        </w:rPr>
        <w:t>2.2  缩略语</w:t>
      </w:r>
      <w:r>
        <w:tab/>
      </w:r>
      <w:r>
        <w:fldChar w:fldCharType="begin"/>
      </w:r>
      <w:r>
        <w:instrText xml:space="preserve"> PAGEREF _Toc20224 \h </w:instrText>
      </w:r>
      <w:r>
        <w:fldChar w:fldCharType="separate"/>
      </w:r>
      <w:r>
        <w:t>7</w:t>
      </w:r>
      <w:r>
        <w:fldChar w:fldCharType="end"/>
      </w:r>
      <w:r>
        <w:rPr>
          <w:rFonts w:cs="Times New Roman"/>
          <w:szCs w:val="24"/>
        </w:rPr>
        <w:fldChar w:fldCharType="end"/>
      </w:r>
    </w:p>
    <w:p w14:paraId="27FBD7D4">
      <w:pPr>
        <w:pStyle w:val="13"/>
        <w:tabs>
          <w:tab w:val="right" w:leader="dot" w:pos="8306"/>
        </w:tabs>
      </w:pPr>
      <w:r>
        <w:rPr>
          <w:rFonts w:cs="Times New Roman"/>
          <w:szCs w:val="24"/>
        </w:rPr>
        <w:fldChar w:fldCharType="begin"/>
      </w:r>
      <w:r>
        <w:rPr>
          <w:rFonts w:cs="Times New Roman"/>
          <w:szCs w:val="24"/>
        </w:rPr>
        <w:instrText xml:space="preserve"> HYPERLINK \l _Toc11698 </w:instrText>
      </w:r>
      <w:r>
        <w:rPr>
          <w:rFonts w:cs="Times New Roman"/>
          <w:szCs w:val="24"/>
        </w:rPr>
        <w:fldChar w:fldCharType="separate"/>
      </w:r>
      <w:r>
        <w:rPr>
          <w:rFonts w:cs="Times New Roman"/>
        </w:rPr>
        <w:t xml:space="preserve">3  </w:t>
      </w:r>
      <w:r>
        <w:rPr>
          <w:rFonts w:cs="Times New Roman"/>
          <w:bCs w:val="0"/>
        </w:rPr>
        <w:t>基本规定</w:t>
      </w:r>
      <w:r>
        <w:tab/>
      </w:r>
      <w:r>
        <w:fldChar w:fldCharType="begin"/>
      </w:r>
      <w:r>
        <w:instrText xml:space="preserve"> PAGEREF _Toc11698 \h </w:instrText>
      </w:r>
      <w:r>
        <w:fldChar w:fldCharType="separate"/>
      </w:r>
      <w:r>
        <w:t>8</w:t>
      </w:r>
      <w:r>
        <w:fldChar w:fldCharType="end"/>
      </w:r>
      <w:r>
        <w:rPr>
          <w:rFonts w:cs="Times New Roman"/>
          <w:szCs w:val="24"/>
        </w:rPr>
        <w:fldChar w:fldCharType="end"/>
      </w:r>
    </w:p>
    <w:p w14:paraId="3B68DB27">
      <w:pPr>
        <w:pStyle w:val="13"/>
        <w:tabs>
          <w:tab w:val="right" w:leader="dot" w:pos="8306"/>
        </w:tabs>
      </w:pPr>
      <w:r>
        <w:rPr>
          <w:rFonts w:cs="Times New Roman"/>
          <w:szCs w:val="24"/>
        </w:rPr>
        <w:fldChar w:fldCharType="begin"/>
      </w:r>
      <w:r>
        <w:rPr>
          <w:rFonts w:cs="Times New Roman"/>
          <w:szCs w:val="24"/>
        </w:rPr>
        <w:instrText xml:space="preserve"> HYPERLINK \l _Toc20830 </w:instrText>
      </w:r>
      <w:r>
        <w:rPr>
          <w:rFonts w:cs="Times New Roman"/>
          <w:szCs w:val="24"/>
        </w:rPr>
        <w:fldChar w:fldCharType="separate"/>
      </w:r>
      <w:r>
        <w:rPr>
          <w:rFonts w:cs="Times New Roman"/>
        </w:rPr>
        <w:t xml:space="preserve">4  </w:t>
      </w:r>
      <w:r>
        <w:rPr>
          <w:rFonts w:hint="eastAsia" w:cs="Times New Roman"/>
          <w:bCs w:val="0"/>
          <w:lang w:val="en-US" w:eastAsia="zh-CN"/>
        </w:rPr>
        <w:t>交付内容</w:t>
      </w:r>
      <w:r>
        <w:tab/>
      </w:r>
      <w:r>
        <w:fldChar w:fldCharType="begin"/>
      </w:r>
      <w:r>
        <w:instrText xml:space="preserve"> PAGEREF _Toc20830 \h </w:instrText>
      </w:r>
      <w:r>
        <w:fldChar w:fldCharType="separate"/>
      </w:r>
      <w:r>
        <w:t>9</w:t>
      </w:r>
      <w:r>
        <w:fldChar w:fldCharType="end"/>
      </w:r>
      <w:r>
        <w:rPr>
          <w:rFonts w:cs="Times New Roman"/>
          <w:szCs w:val="24"/>
        </w:rPr>
        <w:fldChar w:fldCharType="end"/>
      </w:r>
    </w:p>
    <w:p w14:paraId="1886F87A">
      <w:pPr>
        <w:pStyle w:val="14"/>
        <w:tabs>
          <w:tab w:val="right" w:leader="dot" w:pos="8306"/>
        </w:tabs>
      </w:pPr>
      <w:r>
        <w:rPr>
          <w:rFonts w:cs="Times New Roman"/>
          <w:szCs w:val="24"/>
        </w:rPr>
        <w:fldChar w:fldCharType="begin"/>
      </w:r>
      <w:r>
        <w:rPr>
          <w:rFonts w:cs="Times New Roman"/>
          <w:szCs w:val="24"/>
        </w:rPr>
        <w:instrText xml:space="preserve"> HYPERLINK \l _Toc25412 </w:instrText>
      </w:r>
      <w:r>
        <w:rPr>
          <w:rFonts w:cs="Times New Roman"/>
          <w:szCs w:val="24"/>
        </w:rPr>
        <w:fldChar w:fldCharType="separate"/>
      </w:r>
      <w:r>
        <w:rPr>
          <w:rFonts w:cs="Times New Roman"/>
        </w:rPr>
        <w:t xml:space="preserve">4.1  </w:t>
      </w:r>
      <w:r>
        <w:rPr>
          <w:rFonts w:cs="Times New Roman"/>
          <w:bCs w:val="0"/>
        </w:rPr>
        <w:t>一般规定</w:t>
      </w:r>
      <w:r>
        <w:tab/>
      </w:r>
      <w:r>
        <w:fldChar w:fldCharType="begin"/>
      </w:r>
      <w:r>
        <w:instrText xml:space="preserve"> PAGEREF _Toc25412 \h </w:instrText>
      </w:r>
      <w:r>
        <w:fldChar w:fldCharType="separate"/>
      </w:r>
      <w:r>
        <w:t>9</w:t>
      </w:r>
      <w:r>
        <w:fldChar w:fldCharType="end"/>
      </w:r>
      <w:r>
        <w:rPr>
          <w:rFonts w:cs="Times New Roman"/>
          <w:szCs w:val="24"/>
        </w:rPr>
        <w:fldChar w:fldCharType="end"/>
      </w:r>
    </w:p>
    <w:p w14:paraId="02689773">
      <w:pPr>
        <w:pStyle w:val="14"/>
        <w:tabs>
          <w:tab w:val="right" w:leader="dot" w:pos="8306"/>
        </w:tabs>
      </w:pPr>
      <w:r>
        <w:rPr>
          <w:rFonts w:cs="Times New Roman"/>
          <w:szCs w:val="24"/>
        </w:rPr>
        <w:fldChar w:fldCharType="begin"/>
      </w:r>
      <w:r>
        <w:rPr>
          <w:rFonts w:cs="Times New Roman"/>
          <w:szCs w:val="24"/>
        </w:rPr>
        <w:instrText xml:space="preserve"> HYPERLINK \l _Toc16958 </w:instrText>
      </w:r>
      <w:r>
        <w:rPr>
          <w:rFonts w:cs="Times New Roman"/>
          <w:szCs w:val="24"/>
        </w:rPr>
        <w:fldChar w:fldCharType="separate"/>
      </w:r>
      <w:r>
        <w:rPr>
          <w:rFonts w:cs="Times New Roman"/>
        </w:rPr>
        <w:t>4.</w:t>
      </w:r>
      <w:r>
        <w:rPr>
          <w:rFonts w:hint="eastAsia" w:cs="Times New Roman"/>
        </w:rPr>
        <w:t>2</w:t>
      </w:r>
      <w:r>
        <w:rPr>
          <w:rFonts w:cs="Times New Roman"/>
        </w:rPr>
        <w:t xml:space="preserve">  </w:t>
      </w:r>
      <w:r>
        <w:rPr>
          <w:rFonts w:cs="Times New Roman"/>
          <w:bCs w:val="0"/>
        </w:rPr>
        <w:t>勘察阶段</w:t>
      </w:r>
      <w:r>
        <w:rPr>
          <w:rFonts w:hint="eastAsia" w:cs="Times New Roman"/>
          <w:bCs w:val="0"/>
          <w:lang w:val="en-US" w:eastAsia="zh-CN"/>
        </w:rPr>
        <w:t>交付内容</w:t>
      </w:r>
      <w:r>
        <w:tab/>
      </w:r>
      <w:r>
        <w:fldChar w:fldCharType="begin"/>
      </w:r>
      <w:r>
        <w:instrText xml:space="preserve"> PAGEREF _Toc16958 \h </w:instrText>
      </w:r>
      <w:r>
        <w:fldChar w:fldCharType="separate"/>
      </w:r>
      <w:r>
        <w:t>9</w:t>
      </w:r>
      <w:r>
        <w:fldChar w:fldCharType="end"/>
      </w:r>
      <w:r>
        <w:rPr>
          <w:rFonts w:cs="Times New Roman"/>
          <w:szCs w:val="24"/>
        </w:rPr>
        <w:fldChar w:fldCharType="end"/>
      </w:r>
    </w:p>
    <w:p w14:paraId="629246B0">
      <w:pPr>
        <w:pStyle w:val="14"/>
        <w:tabs>
          <w:tab w:val="right" w:leader="dot" w:pos="8306"/>
        </w:tabs>
      </w:pPr>
      <w:r>
        <w:rPr>
          <w:rFonts w:cs="Times New Roman"/>
          <w:szCs w:val="24"/>
        </w:rPr>
        <w:fldChar w:fldCharType="begin"/>
      </w:r>
      <w:r>
        <w:rPr>
          <w:rFonts w:cs="Times New Roman"/>
          <w:szCs w:val="24"/>
        </w:rPr>
        <w:instrText xml:space="preserve"> HYPERLINK \l _Toc1278 </w:instrText>
      </w:r>
      <w:r>
        <w:rPr>
          <w:rFonts w:cs="Times New Roman"/>
          <w:szCs w:val="24"/>
        </w:rPr>
        <w:fldChar w:fldCharType="separate"/>
      </w:r>
      <w:r>
        <w:rPr>
          <w:rFonts w:cs="Times New Roman"/>
        </w:rPr>
        <w:t>4.</w:t>
      </w:r>
      <w:r>
        <w:rPr>
          <w:rFonts w:hint="eastAsia" w:cs="Times New Roman"/>
        </w:rPr>
        <w:t>3</w:t>
      </w:r>
      <w:r>
        <w:rPr>
          <w:rFonts w:cs="Times New Roman"/>
        </w:rPr>
        <w:t xml:space="preserve">  </w:t>
      </w:r>
      <w:r>
        <w:rPr>
          <w:rFonts w:cs="Times New Roman"/>
          <w:bCs w:val="0"/>
        </w:rPr>
        <w:t>设计阶段</w:t>
      </w:r>
      <w:r>
        <w:rPr>
          <w:rFonts w:hint="eastAsia" w:cs="Times New Roman"/>
          <w:bCs w:val="0"/>
          <w:lang w:val="en-US" w:eastAsia="zh-CN"/>
        </w:rPr>
        <w:t>交付内容</w:t>
      </w:r>
      <w:r>
        <w:tab/>
      </w:r>
      <w:r>
        <w:fldChar w:fldCharType="begin"/>
      </w:r>
      <w:r>
        <w:instrText xml:space="preserve"> PAGEREF _Toc1278 \h </w:instrText>
      </w:r>
      <w:r>
        <w:fldChar w:fldCharType="separate"/>
      </w:r>
      <w:r>
        <w:t>11</w:t>
      </w:r>
      <w:r>
        <w:fldChar w:fldCharType="end"/>
      </w:r>
      <w:r>
        <w:rPr>
          <w:rFonts w:cs="Times New Roman"/>
          <w:szCs w:val="24"/>
        </w:rPr>
        <w:fldChar w:fldCharType="end"/>
      </w:r>
    </w:p>
    <w:p w14:paraId="0578C6E7">
      <w:pPr>
        <w:pStyle w:val="14"/>
        <w:tabs>
          <w:tab w:val="right" w:leader="dot" w:pos="8306"/>
        </w:tabs>
      </w:pPr>
      <w:r>
        <w:rPr>
          <w:rFonts w:cs="Times New Roman"/>
          <w:szCs w:val="24"/>
        </w:rPr>
        <w:fldChar w:fldCharType="begin"/>
      </w:r>
      <w:r>
        <w:rPr>
          <w:rFonts w:cs="Times New Roman"/>
          <w:szCs w:val="24"/>
        </w:rPr>
        <w:instrText xml:space="preserve"> HYPERLINK \l _Toc1191 </w:instrText>
      </w:r>
      <w:r>
        <w:rPr>
          <w:rFonts w:cs="Times New Roman"/>
          <w:szCs w:val="24"/>
        </w:rPr>
        <w:fldChar w:fldCharType="separate"/>
      </w:r>
      <w:r>
        <w:rPr>
          <w:rFonts w:cs="Times New Roman"/>
        </w:rPr>
        <w:t>4.</w:t>
      </w:r>
      <w:r>
        <w:rPr>
          <w:rFonts w:hint="eastAsia" w:cs="Times New Roman"/>
        </w:rPr>
        <w:t>4</w:t>
      </w:r>
      <w:r>
        <w:rPr>
          <w:rFonts w:cs="Times New Roman"/>
        </w:rPr>
        <w:t xml:space="preserve">  </w:t>
      </w:r>
      <w:r>
        <w:rPr>
          <w:rFonts w:cs="Times New Roman"/>
          <w:bCs w:val="0"/>
        </w:rPr>
        <w:t>施工阶段</w:t>
      </w:r>
      <w:r>
        <w:rPr>
          <w:rFonts w:hint="eastAsia" w:cs="Times New Roman"/>
          <w:bCs w:val="0"/>
          <w:lang w:val="en-US" w:eastAsia="zh-CN"/>
        </w:rPr>
        <w:t>交付内容</w:t>
      </w:r>
      <w:r>
        <w:tab/>
      </w:r>
      <w:r>
        <w:fldChar w:fldCharType="begin"/>
      </w:r>
      <w:r>
        <w:instrText xml:space="preserve"> PAGEREF _Toc1191 \h </w:instrText>
      </w:r>
      <w:r>
        <w:fldChar w:fldCharType="separate"/>
      </w:r>
      <w:r>
        <w:t>17</w:t>
      </w:r>
      <w:r>
        <w:fldChar w:fldCharType="end"/>
      </w:r>
      <w:r>
        <w:rPr>
          <w:rFonts w:cs="Times New Roman"/>
          <w:szCs w:val="24"/>
        </w:rPr>
        <w:fldChar w:fldCharType="end"/>
      </w:r>
    </w:p>
    <w:p w14:paraId="62A9289F">
      <w:pPr>
        <w:pStyle w:val="14"/>
        <w:tabs>
          <w:tab w:val="right" w:leader="dot" w:pos="8306"/>
        </w:tabs>
      </w:pPr>
      <w:r>
        <w:rPr>
          <w:rFonts w:cs="Times New Roman"/>
          <w:szCs w:val="24"/>
        </w:rPr>
        <w:fldChar w:fldCharType="begin"/>
      </w:r>
      <w:r>
        <w:rPr>
          <w:rFonts w:cs="Times New Roman"/>
          <w:szCs w:val="24"/>
        </w:rPr>
        <w:instrText xml:space="preserve"> HYPERLINK \l _Toc14624 </w:instrText>
      </w:r>
      <w:r>
        <w:rPr>
          <w:rFonts w:cs="Times New Roman"/>
          <w:szCs w:val="24"/>
        </w:rPr>
        <w:fldChar w:fldCharType="separate"/>
      </w:r>
      <w:r>
        <w:rPr>
          <w:rFonts w:cs="Times New Roman"/>
        </w:rPr>
        <w:t>4.</w:t>
      </w:r>
      <w:r>
        <w:rPr>
          <w:rFonts w:hint="eastAsia" w:cs="Times New Roman"/>
          <w:lang w:val="en-US" w:eastAsia="zh-CN"/>
        </w:rPr>
        <w:t>5</w:t>
      </w:r>
      <w:r>
        <w:rPr>
          <w:rFonts w:cs="Times New Roman"/>
        </w:rPr>
        <w:t xml:space="preserve">  </w:t>
      </w:r>
      <w:r>
        <w:rPr>
          <w:rFonts w:hint="eastAsia" w:cs="Times New Roman"/>
          <w:bCs w:val="0"/>
          <w:lang w:val="en-US" w:eastAsia="zh-CN"/>
        </w:rPr>
        <w:t>存储与</w:t>
      </w:r>
      <w:r>
        <w:rPr>
          <w:rFonts w:cs="Times New Roman"/>
          <w:bCs w:val="0"/>
        </w:rPr>
        <w:t>管理</w:t>
      </w:r>
      <w:r>
        <w:tab/>
      </w:r>
      <w:r>
        <w:fldChar w:fldCharType="begin"/>
      </w:r>
      <w:r>
        <w:instrText xml:space="preserve"> PAGEREF _Toc14624 \h </w:instrText>
      </w:r>
      <w:r>
        <w:fldChar w:fldCharType="separate"/>
      </w:r>
      <w:r>
        <w:t>21</w:t>
      </w:r>
      <w:r>
        <w:fldChar w:fldCharType="end"/>
      </w:r>
      <w:r>
        <w:rPr>
          <w:rFonts w:cs="Times New Roman"/>
          <w:szCs w:val="24"/>
        </w:rPr>
        <w:fldChar w:fldCharType="end"/>
      </w:r>
    </w:p>
    <w:p w14:paraId="20920F20">
      <w:pPr>
        <w:pStyle w:val="14"/>
        <w:tabs>
          <w:tab w:val="right" w:leader="dot" w:pos="8306"/>
        </w:tabs>
      </w:pPr>
      <w:r>
        <w:rPr>
          <w:rFonts w:cs="Times New Roman"/>
          <w:szCs w:val="24"/>
        </w:rPr>
        <w:fldChar w:fldCharType="begin"/>
      </w:r>
      <w:r>
        <w:rPr>
          <w:rFonts w:cs="Times New Roman"/>
          <w:szCs w:val="24"/>
        </w:rPr>
        <w:instrText xml:space="preserve"> HYPERLINK \l _Toc8134 </w:instrText>
      </w:r>
      <w:r>
        <w:rPr>
          <w:rFonts w:cs="Times New Roman"/>
          <w:szCs w:val="24"/>
        </w:rPr>
        <w:fldChar w:fldCharType="separate"/>
      </w:r>
      <w:r>
        <w:rPr>
          <w:rFonts w:cs="Times New Roman"/>
        </w:rPr>
        <w:t>4.</w:t>
      </w:r>
      <w:r>
        <w:rPr>
          <w:rFonts w:hint="eastAsia" w:cs="Times New Roman"/>
          <w:lang w:val="en-US" w:eastAsia="zh-CN"/>
        </w:rPr>
        <w:t>6</w:t>
      </w:r>
      <w:r>
        <w:rPr>
          <w:rFonts w:cs="Times New Roman"/>
        </w:rPr>
        <w:t xml:space="preserve">  </w:t>
      </w:r>
      <w:r>
        <w:rPr>
          <w:rFonts w:cs="Times New Roman"/>
          <w:bCs w:val="0"/>
        </w:rPr>
        <w:t>共享与安全</w:t>
      </w:r>
      <w:r>
        <w:tab/>
      </w:r>
      <w:r>
        <w:fldChar w:fldCharType="begin"/>
      </w:r>
      <w:r>
        <w:instrText xml:space="preserve"> PAGEREF _Toc8134 \h </w:instrText>
      </w:r>
      <w:r>
        <w:fldChar w:fldCharType="separate"/>
      </w:r>
      <w:r>
        <w:t>24</w:t>
      </w:r>
      <w:r>
        <w:fldChar w:fldCharType="end"/>
      </w:r>
      <w:r>
        <w:rPr>
          <w:rFonts w:cs="Times New Roman"/>
          <w:szCs w:val="24"/>
        </w:rPr>
        <w:fldChar w:fldCharType="end"/>
      </w:r>
    </w:p>
    <w:p w14:paraId="6F4E1C50">
      <w:pPr>
        <w:pStyle w:val="14"/>
        <w:tabs>
          <w:tab w:val="right" w:leader="dot" w:pos="8306"/>
        </w:tabs>
      </w:pPr>
      <w:r>
        <w:rPr>
          <w:rFonts w:cs="Times New Roman"/>
          <w:szCs w:val="24"/>
        </w:rPr>
        <w:fldChar w:fldCharType="begin"/>
      </w:r>
      <w:r>
        <w:rPr>
          <w:rFonts w:cs="Times New Roman"/>
          <w:szCs w:val="24"/>
        </w:rPr>
        <w:instrText xml:space="preserve"> HYPERLINK \l _Toc17488 </w:instrText>
      </w:r>
      <w:r>
        <w:rPr>
          <w:rFonts w:cs="Times New Roman"/>
          <w:szCs w:val="24"/>
        </w:rPr>
        <w:fldChar w:fldCharType="separate"/>
      </w:r>
      <w:r>
        <w:rPr>
          <w:rFonts w:cs="Times New Roman"/>
        </w:rPr>
        <w:t>4.</w:t>
      </w:r>
      <w:r>
        <w:rPr>
          <w:rFonts w:hint="eastAsia" w:cs="Times New Roman"/>
          <w:lang w:val="en-US" w:eastAsia="zh-CN"/>
        </w:rPr>
        <w:t>7</w:t>
      </w:r>
      <w:r>
        <w:rPr>
          <w:rFonts w:cs="Times New Roman"/>
        </w:rPr>
        <w:t xml:space="preserve">  </w:t>
      </w:r>
      <w:r>
        <w:rPr>
          <w:rFonts w:cs="Times New Roman"/>
          <w:bCs w:val="0"/>
        </w:rPr>
        <w:t>环境</w:t>
      </w:r>
      <w:r>
        <w:rPr>
          <w:rFonts w:hint="eastAsia" w:cs="Times New Roman"/>
          <w:bCs w:val="0"/>
          <w:lang w:val="en-US" w:eastAsia="zh-CN"/>
        </w:rPr>
        <w:t>与设备</w:t>
      </w:r>
      <w:r>
        <w:tab/>
      </w:r>
      <w:r>
        <w:fldChar w:fldCharType="begin"/>
      </w:r>
      <w:r>
        <w:instrText xml:space="preserve"> PAGEREF _Toc17488 \h </w:instrText>
      </w:r>
      <w:r>
        <w:fldChar w:fldCharType="separate"/>
      </w:r>
      <w:r>
        <w:t>25</w:t>
      </w:r>
      <w:r>
        <w:fldChar w:fldCharType="end"/>
      </w:r>
      <w:r>
        <w:rPr>
          <w:rFonts w:cs="Times New Roman"/>
          <w:szCs w:val="24"/>
        </w:rPr>
        <w:fldChar w:fldCharType="end"/>
      </w:r>
    </w:p>
    <w:p w14:paraId="65503445">
      <w:pPr>
        <w:pStyle w:val="14"/>
        <w:tabs>
          <w:tab w:val="right" w:leader="dot" w:pos="8306"/>
        </w:tabs>
      </w:pPr>
      <w:r>
        <w:rPr>
          <w:rFonts w:cs="Times New Roman"/>
          <w:szCs w:val="24"/>
        </w:rPr>
        <w:fldChar w:fldCharType="begin"/>
      </w:r>
      <w:r>
        <w:rPr>
          <w:rFonts w:cs="Times New Roman"/>
          <w:szCs w:val="24"/>
        </w:rPr>
        <w:instrText xml:space="preserve"> HYPERLINK \l _Toc24368 </w:instrText>
      </w:r>
      <w:r>
        <w:rPr>
          <w:rFonts w:cs="Times New Roman"/>
          <w:szCs w:val="24"/>
        </w:rPr>
        <w:fldChar w:fldCharType="separate"/>
      </w:r>
      <w:r>
        <w:rPr>
          <w:rFonts w:cs="Times New Roman"/>
        </w:rPr>
        <w:t>4.</w:t>
      </w:r>
      <w:r>
        <w:rPr>
          <w:rFonts w:hint="eastAsia" w:cs="Times New Roman"/>
          <w:lang w:val="en-US" w:eastAsia="zh-CN"/>
        </w:rPr>
        <w:t>8</w:t>
      </w:r>
      <w:r>
        <w:rPr>
          <w:rFonts w:cs="Times New Roman"/>
        </w:rPr>
        <w:t xml:space="preserve">  </w:t>
      </w:r>
      <w:r>
        <w:rPr>
          <w:rFonts w:hint="eastAsia" w:cs="Times New Roman"/>
          <w:bCs w:val="0"/>
          <w:lang w:val="en-US" w:eastAsia="zh-CN"/>
        </w:rPr>
        <w:t>巡查与</w:t>
      </w:r>
      <w:r>
        <w:rPr>
          <w:rFonts w:cs="Times New Roman"/>
          <w:bCs w:val="0"/>
        </w:rPr>
        <w:t>维护</w:t>
      </w:r>
      <w:r>
        <w:tab/>
      </w:r>
      <w:r>
        <w:fldChar w:fldCharType="begin"/>
      </w:r>
      <w:r>
        <w:instrText xml:space="preserve"> PAGEREF _Toc24368 \h </w:instrText>
      </w:r>
      <w:r>
        <w:fldChar w:fldCharType="separate"/>
      </w:r>
      <w:r>
        <w:t>26</w:t>
      </w:r>
      <w:r>
        <w:fldChar w:fldCharType="end"/>
      </w:r>
      <w:r>
        <w:rPr>
          <w:rFonts w:cs="Times New Roman"/>
          <w:szCs w:val="24"/>
        </w:rPr>
        <w:fldChar w:fldCharType="end"/>
      </w:r>
    </w:p>
    <w:p w14:paraId="01C57F59">
      <w:pPr>
        <w:pStyle w:val="13"/>
        <w:tabs>
          <w:tab w:val="right" w:leader="dot" w:pos="8306"/>
        </w:tabs>
      </w:pPr>
      <w:r>
        <w:rPr>
          <w:rFonts w:cs="Times New Roman"/>
          <w:szCs w:val="24"/>
        </w:rPr>
        <w:fldChar w:fldCharType="begin"/>
      </w:r>
      <w:r>
        <w:rPr>
          <w:rFonts w:cs="Times New Roman"/>
          <w:szCs w:val="24"/>
        </w:rPr>
        <w:instrText xml:space="preserve"> HYPERLINK \l _Toc32585 </w:instrText>
      </w:r>
      <w:r>
        <w:rPr>
          <w:rFonts w:cs="Times New Roman"/>
          <w:szCs w:val="24"/>
        </w:rPr>
        <w:fldChar w:fldCharType="separate"/>
      </w:r>
      <w:r>
        <w:rPr>
          <w:rFonts w:cs="Times New Roman"/>
        </w:rPr>
        <w:t xml:space="preserve">5  </w:t>
      </w:r>
      <w:r>
        <w:rPr>
          <w:rFonts w:hint="eastAsia" w:cs="Times New Roman"/>
          <w:lang w:val="en-US" w:eastAsia="zh-CN"/>
        </w:rPr>
        <w:t>成果归档</w:t>
      </w:r>
      <w:r>
        <w:tab/>
      </w:r>
      <w:r>
        <w:fldChar w:fldCharType="begin"/>
      </w:r>
      <w:r>
        <w:instrText xml:space="preserve"> PAGEREF _Toc32585 \h </w:instrText>
      </w:r>
      <w:r>
        <w:fldChar w:fldCharType="separate"/>
      </w:r>
      <w:r>
        <w:t>28</w:t>
      </w:r>
      <w:r>
        <w:fldChar w:fldCharType="end"/>
      </w:r>
      <w:r>
        <w:rPr>
          <w:rFonts w:cs="Times New Roman"/>
          <w:szCs w:val="24"/>
        </w:rPr>
        <w:fldChar w:fldCharType="end"/>
      </w:r>
    </w:p>
    <w:p w14:paraId="4A77E390">
      <w:pPr>
        <w:pStyle w:val="14"/>
        <w:tabs>
          <w:tab w:val="right" w:leader="dot" w:pos="8306"/>
        </w:tabs>
      </w:pPr>
      <w:r>
        <w:rPr>
          <w:rFonts w:cs="Times New Roman"/>
          <w:szCs w:val="24"/>
        </w:rPr>
        <w:fldChar w:fldCharType="begin"/>
      </w:r>
      <w:r>
        <w:rPr>
          <w:rFonts w:cs="Times New Roman"/>
          <w:szCs w:val="24"/>
        </w:rPr>
        <w:instrText xml:space="preserve"> HYPERLINK \l _Toc28226 </w:instrText>
      </w:r>
      <w:r>
        <w:rPr>
          <w:rFonts w:cs="Times New Roman"/>
          <w:szCs w:val="24"/>
        </w:rPr>
        <w:fldChar w:fldCharType="separate"/>
      </w:r>
      <w:r>
        <w:rPr>
          <w:rFonts w:cs="Times New Roman"/>
        </w:rPr>
        <w:t>5.1  一般规定</w:t>
      </w:r>
      <w:r>
        <w:tab/>
      </w:r>
      <w:r>
        <w:fldChar w:fldCharType="begin"/>
      </w:r>
      <w:r>
        <w:instrText xml:space="preserve"> PAGEREF _Toc28226 \h </w:instrText>
      </w:r>
      <w:r>
        <w:fldChar w:fldCharType="separate"/>
      </w:r>
      <w:r>
        <w:t>28</w:t>
      </w:r>
      <w:r>
        <w:fldChar w:fldCharType="end"/>
      </w:r>
      <w:r>
        <w:rPr>
          <w:rFonts w:cs="Times New Roman"/>
          <w:szCs w:val="24"/>
        </w:rPr>
        <w:fldChar w:fldCharType="end"/>
      </w:r>
    </w:p>
    <w:p w14:paraId="74BFC721">
      <w:pPr>
        <w:pStyle w:val="14"/>
        <w:tabs>
          <w:tab w:val="right" w:leader="dot" w:pos="8306"/>
        </w:tabs>
      </w:pPr>
      <w:r>
        <w:rPr>
          <w:rFonts w:cs="Times New Roman"/>
          <w:szCs w:val="24"/>
        </w:rPr>
        <w:fldChar w:fldCharType="begin"/>
      </w:r>
      <w:r>
        <w:rPr>
          <w:rFonts w:cs="Times New Roman"/>
          <w:szCs w:val="24"/>
        </w:rPr>
        <w:instrText xml:space="preserve"> HYPERLINK \l _Toc3901 </w:instrText>
      </w:r>
      <w:r>
        <w:rPr>
          <w:rFonts w:cs="Times New Roman"/>
          <w:szCs w:val="24"/>
        </w:rPr>
        <w:fldChar w:fldCharType="separate"/>
      </w:r>
      <w:r>
        <w:rPr>
          <w:rFonts w:cs="Times New Roman"/>
        </w:rPr>
        <w:t xml:space="preserve">5.2  </w:t>
      </w:r>
      <w:r>
        <w:rPr>
          <w:rFonts w:hint="eastAsia" w:ascii="Times New Roman" w:hAnsi="Times New Roman" w:cs="Times New Roman"/>
          <w:bCs w:val="0"/>
          <w:lang w:val="en-US" w:eastAsia="zh-CN"/>
        </w:rPr>
        <w:t>文档文件</w:t>
      </w:r>
      <w:r>
        <w:rPr>
          <w:rFonts w:cs="Times New Roman"/>
          <w:bCs w:val="0"/>
        </w:rPr>
        <w:t>规定</w:t>
      </w:r>
      <w:r>
        <w:tab/>
      </w:r>
      <w:r>
        <w:fldChar w:fldCharType="begin"/>
      </w:r>
      <w:r>
        <w:instrText xml:space="preserve"> PAGEREF _Toc3901 \h </w:instrText>
      </w:r>
      <w:r>
        <w:fldChar w:fldCharType="separate"/>
      </w:r>
      <w:r>
        <w:t>28</w:t>
      </w:r>
      <w:r>
        <w:fldChar w:fldCharType="end"/>
      </w:r>
      <w:r>
        <w:rPr>
          <w:rFonts w:cs="Times New Roman"/>
          <w:szCs w:val="24"/>
        </w:rPr>
        <w:fldChar w:fldCharType="end"/>
      </w:r>
    </w:p>
    <w:p w14:paraId="20067D1C">
      <w:pPr>
        <w:pStyle w:val="14"/>
        <w:tabs>
          <w:tab w:val="right" w:leader="dot" w:pos="8306"/>
        </w:tabs>
      </w:pPr>
      <w:r>
        <w:rPr>
          <w:rFonts w:cs="Times New Roman"/>
          <w:szCs w:val="24"/>
        </w:rPr>
        <w:fldChar w:fldCharType="begin"/>
      </w:r>
      <w:r>
        <w:rPr>
          <w:rFonts w:cs="Times New Roman"/>
          <w:szCs w:val="24"/>
        </w:rPr>
        <w:instrText xml:space="preserve"> HYPERLINK \l _Toc3975 </w:instrText>
      </w:r>
      <w:r>
        <w:rPr>
          <w:rFonts w:cs="Times New Roman"/>
          <w:szCs w:val="24"/>
        </w:rPr>
        <w:fldChar w:fldCharType="separate"/>
      </w:r>
      <w:r>
        <w:rPr>
          <w:rFonts w:cs="Times New Roman"/>
        </w:rPr>
        <w:t xml:space="preserve">5.3  </w:t>
      </w:r>
      <w:r>
        <w:rPr>
          <w:rFonts w:cs="Times New Roman"/>
          <w:bCs w:val="0"/>
        </w:rPr>
        <w:t>模型</w:t>
      </w:r>
      <w:r>
        <w:rPr>
          <w:rFonts w:hint="eastAsia" w:cs="Times New Roman"/>
          <w:bCs w:val="0"/>
          <w:lang w:val="en-US" w:eastAsia="zh-CN"/>
        </w:rPr>
        <w:t>文件</w:t>
      </w:r>
      <w:r>
        <w:rPr>
          <w:rFonts w:cs="Times New Roman"/>
          <w:bCs w:val="0"/>
        </w:rPr>
        <w:t>规定</w:t>
      </w:r>
      <w:r>
        <w:tab/>
      </w:r>
      <w:r>
        <w:fldChar w:fldCharType="begin"/>
      </w:r>
      <w:r>
        <w:instrText xml:space="preserve"> PAGEREF _Toc3975 \h </w:instrText>
      </w:r>
      <w:r>
        <w:fldChar w:fldCharType="separate"/>
      </w:r>
      <w:r>
        <w:t>29</w:t>
      </w:r>
      <w:r>
        <w:fldChar w:fldCharType="end"/>
      </w:r>
      <w:r>
        <w:rPr>
          <w:rFonts w:cs="Times New Roman"/>
          <w:szCs w:val="24"/>
        </w:rPr>
        <w:fldChar w:fldCharType="end"/>
      </w:r>
    </w:p>
    <w:p w14:paraId="07B019F0">
      <w:pPr>
        <w:pStyle w:val="14"/>
        <w:tabs>
          <w:tab w:val="right" w:leader="dot" w:pos="8306"/>
        </w:tabs>
      </w:pPr>
      <w:r>
        <w:rPr>
          <w:rFonts w:cs="Times New Roman"/>
          <w:szCs w:val="24"/>
        </w:rPr>
        <w:fldChar w:fldCharType="begin"/>
      </w:r>
      <w:r>
        <w:rPr>
          <w:rFonts w:cs="Times New Roman"/>
          <w:szCs w:val="24"/>
        </w:rPr>
        <w:instrText xml:space="preserve"> HYPERLINK \l _Toc7717 </w:instrText>
      </w:r>
      <w:r>
        <w:rPr>
          <w:rFonts w:cs="Times New Roman"/>
          <w:szCs w:val="24"/>
        </w:rPr>
        <w:fldChar w:fldCharType="separate"/>
      </w:r>
      <w:r>
        <w:rPr>
          <w:rFonts w:cs="Times New Roman"/>
        </w:rPr>
        <w:t xml:space="preserve">5.4  </w:t>
      </w:r>
      <w:r>
        <w:rPr>
          <w:rFonts w:cs="Times New Roman"/>
          <w:bCs w:val="0"/>
        </w:rPr>
        <w:t>共享与安全</w:t>
      </w:r>
      <w:r>
        <w:tab/>
      </w:r>
      <w:r>
        <w:fldChar w:fldCharType="begin"/>
      </w:r>
      <w:r>
        <w:instrText xml:space="preserve"> PAGEREF _Toc7717 \h </w:instrText>
      </w:r>
      <w:r>
        <w:fldChar w:fldCharType="separate"/>
      </w:r>
      <w:r>
        <w:t>31</w:t>
      </w:r>
      <w:r>
        <w:fldChar w:fldCharType="end"/>
      </w:r>
      <w:r>
        <w:rPr>
          <w:rFonts w:cs="Times New Roman"/>
          <w:szCs w:val="24"/>
        </w:rPr>
        <w:fldChar w:fldCharType="end"/>
      </w:r>
    </w:p>
    <w:p w14:paraId="1E0C6236">
      <w:pPr>
        <w:pStyle w:val="14"/>
        <w:tabs>
          <w:tab w:val="right" w:leader="dot" w:pos="8306"/>
        </w:tabs>
      </w:pPr>
      <w:r>
        <w:rPr>
          <w:rFonts w:cs="Times New Roman"/>
          <w:szCs w:val="24"/>
        </w:rPr>
        <w:fldChar w:fldCharType="begin"/>
      </w:r>
      <w:r>
        <w:rPr>
          <w:rFonts w:cs="Times New Roman"/>
          <w:szCs w:val="24"/>
        </w:rPr>
        <w:instrText xml:space="preserve"> HYPERLINK \l _Toc22604 </w:instrText>
      </w:r>
      <w:r>
        <w:rPr>
          <w:rFonts w:cs="Times New Roman"/>
          <w:szCs w:val="24"/>
        </w:rPr>
        <w:fldChar w:fldCharType="separate"/>
      </w:r>
      <w:r>
        <w:rPr>
          <w:rFonts w:cs="Times New Roman"/>
        </w:rPr>
        <w:t xml:space="preserve">5.5  </w:t>
      </w:r>
      <w:r>
        <w:rPr>
          <w:rFonts w:hint="eastAsia" w:ascii="Times New Roman" w:hAnsi="Times New Roman" w:cs="Times New Roman"/>
          <w:bCs w:val="0"/>
          <w:lang w:val="en-US" w:eastAsia="zh-CN"/>
        </w:rPr>
        <w:t>归档</w:t>
      </w:r>
      <w:r>
        <w:rPr>
          <w:rFonts w:cs="Times New Roman"/>
          <w:bCs w:val="0"/>
        </w:rPr>
        <w:t>环境要求</w:t>
      </w:r>
      <w:r>
        <w:tab/>
      </w:r>
      <w:r>
        <w:fldChar w:fldCharType="begin"/>
      </w:r>
      <w:r>
        <w:instrText xml:space="preserve"> PAGEREF _Toc22604 \h </w:instrText>
      </w:r>
      <w:r>
        <w:fldChar w:fldCharType="separate"/>
      </w:r>
      <w:r>
        <w:t>32</w:t>
      </w:r>
      <w:r>
        <w:fldChar w:fldCharType="end"/>
      </w:r>
      <w:r>
        <w:rPr>
          <w:rFonts w:cs="Times New Roman"/>
          <w:szCs w:val="24"/>
        </w:rPr>
        <w:fldChar w:fldCharType="end"/>
      </w:r>
    </w:p>
    <w:p w14:paraId="0AE61B3C">
      <w:pPr>
        <w:pStyle w:val="14"/>
        <w:tabs>
          <w:tab w:val="right" w:leader="dot" w:pos="8306"/>
        </w:tabs>
      </w:pPr>
      <w:r>
        <w:rPr>
          <w:rFonts w:cs="Times New Roman"/>
          <w:szCs w:val="24"/>
        </w:rPr>
        <w:fldChar w:fldCharType="begin"/>
      </w:r>
      <w:r>
        <w:rPr>
          <w:rFonts w:cs="Times New Roman"/>
          <w:szCs w:val="24"/>
        </w:rPr>
        <w:instrText xml:space="preserve"> HYPERLINK \l _Toc31363 </w:instrText>
      </w:r>
      <w:r>
        <w:rPr>
          <w:rFonts w:cs="Times New Roman"/>
          <w:szCs w:val="24"/>
        </w:rPr>
        <w:fldChar w:fldCharType="separate"/>
      </w:r>
      <w:r>
        <w:rPr>
          <w:rFonts w:cs="Times New Roman"/>
        </w:rPr>
        <w:t xml:space="preserve">5.6  </w:t>
      </w:r>
      <w:r>
        <w:rPr>
          <w:rFonts w:hint="eastAsia" w:cs="Times New Roman"/>
          <w:bCs w:val="0"/>
          <w:lang w:val="en-US" w:eastAsia="zh-CN"/>
        </w:rPr>
        <w:t>BIM档案</w:t>
      </w:r>
      <w:r>
        <w:rPr>
          <w:rFonts w:cs="Times New Roman"/>
          <w:bCs w:val="0"/>
        </w:rPr>
        <w:t>维护</w:t>
      </w:r>
      <w:r>
        <w:tab/>
      </w:r>
      <w:r>
        <w:fldChar w:fldCharType="begin"/>
      </w:r>
      <w:r>
        <w:instrText xml:space="preserve"> PAGEREF _Toc31363 \h </w:instrText>
      </w:r>
      <w:r>
        <w:fldChar w:fldCharType="separate"/>
      </w:r>
      <w:r>
        <w:t>33</w:t>
      </w:r>
      <w:r>
        <w:fldChar w:fldCharType="end"/>
      </w:r>
      <w:r>
        <w:rPr>
          <w:rFonts w:cs="Times New Roman"/>
          <w:szCs w:val="24"/>
        </w:rPr>
        <w:fldChar w:fldCharType="end"/>
      </w:r>
    </w:p>
    <w:p w14:paraId="764AAEDC">
      <w:pPr>
        <w:pStyle w:val="13"/>
        <w:tabs>
          <w:tab w:val="right" w:leader="dot" w:pos="8306"/>
        </w:tabs>
      </w:pPr>
      <w:r>
        <w:rPr>
          <w:rFonts w:cs="Times New Roman"/>
          <w:szCs w:val="24"/>
        </w:rPr>
        <w:fldChar w:fldCharType="begin"/>
      </w:r>
      <w:r>
        <w:rPr>
          <w:rFonts w:cs="Times New Roman"/>
          <w:szCs w:val="24"/>
        </w:rPr>
        <w:instrText xml:space="preserve"> HYPERLINK \l _Toc22983 </w:instrText>
      </w:r>
      <w:r>
        <w:rPr>
          <w:rFonts w:cs="Times New Roman"/>
          <w:szCs w:val="24"/>
        </w:rPr>
        <w:fldChar w:fldCharType="separate"/>
      </w:r>
      <w:r>
        <w:rPr>
          <w:rFonts w:cs="Times New Roman"/>
        </w:rPr>
        <w:t xml:space="preserve">6  </w:t>
      </w:r>
      <w:r>
        <w:rPr>
          <w:rFonts w:hint="eastAsia" w:cs="Times New Roman"/>
          <w:bCs w:val="0"/>
          <w:lang w:eastAsia="zh-CN"/>
        </w:rPr>
        <w:t>交付</w:t>
      </w:r>
      <w:r>
        <w:rPr>
          <w:rFonts w:hint="eastAsia" w:cs="Times New Roman"/>
          <w:bCs w:val="0"/>
          <w:lang w:val="en-US" w:eastAsia="zh-CN"/>
        </w:rPr>
        <w:t>物及要求</w:t>
      </w:r>
      <w:r>
        <w:tab/>
      </w:r>
      <w:r>
        <w:fldChar w:fldCharType="begin"/>
      </w:r>
      <w:r>
        <w:instrText xml:space="preserve"> PAGEREF _Toc22983 \h </w:instrText>
      </w:r>
      <w:r>
        <w:fldChar w:fldCharType="separate"/>
      </w:r>
      <w:r>
        <w:t>34</w:t>
      </w:r>
      <w:r>
        <w:fldChar w:fldCharType="end"/>
      </w:r>
      <w:r>
        <w:rPr>
          <w:rFonts w:cs="Times New Roman"/>
          <w:szCs w:val="24"/>
        </w:rPr>
        <w:fldChar w:fldCharType="end"/>
      </w:r>
    </w:p>
    <w:p w14:paraId="67B33664">
      <w:pPr>
        <w:pStyle w:val="14"/>
        <w:tabs>
          <w:tab w:val="right" w:leader="dot" w:pos="8306"/>
        </w:tabs>
      </w:pPr>
      <w:r>
        <w:rPr>
          <w:rFonts w:cs="Times New Roman"/>
          <w:szCs w:val="24"/>
        </w:rPr>
        <w:fldChar w:fldCharType="begin"/>
      </w:r>
      <w:r>
        <w:rPr>
          <w:rFonts w:cs="Times New Roman"/>
          <w:szCs w:val="24"/>
        </w:rPr>
        <w:instrText xml:space="preserve"> HYPERLINK \l _Toc627 </w:instrText>
      </w:r>
      <w:r>
        <w:rPr>
          <w:rFonts w:cs="Times New Roman"/>
          <w:szCs w:val="24"/>
        </w:rPr>
        <w:fldChar w:fldCharType="separate"/>
      </w:r>
      <w:r>
        <w:rPr>
          <w:rFonts w:cs="Times New Roman"/>
        </w:rPr>
        <w:t>6.1</w:t>
      </w:r>
      <w:r>
        <w:rPr>
          <w:rFonts w:hint="eastAsia" w:cs="Times New Roman"/>
        </w:rPr>
        <w:t xml:space="preserve">  </w:t>
      </w:r>
      <w:r>
        <w:rPr>
          <w:rFonts w:cs="Times New Roman"/>
        </w:rPr>
        <w:t>一般规定</w:t>
      </w:r>
      <w:r>
        <w:tab/>
      </w:r>
      <w:r>
        <w:fldChar w:fldCharType="begin"/>
      </w:r>
      <w:r>
        <w:instrText xml:space="preserve"> PAGEREF _Toc627 \h </w:instrText>
      </w:r>
      <w:r>
        <w:fldChar w:fldCharType="separate"/>
      </w:r>
      <w:r>
        <w:t>34</w:t>
      </w:r>
      <w:r>
        <w:fldChar w:fldCharType="end"/>
      </w:r>
      <w:r>
        <w:rPr>
          <w:rFonts w:cs="Times New Roman"/>
          <w:szCs w:val="24"/>
        </w:rPr>
        <w:fldChar w:fldCharType="end"/>
      </w:r>
    </w:p>
    <w:p w14:paraId="4E9CD559">
      <w:pPr>
        <w:pStyle w:val="14"/>
        <w:tabs>
          <w:tab w:val="right" w:leader="dot" w:pos="8306"/>
        </w:tabs>
      </w:pPr>
      <w:r>
        <w:rPr>
          <w:rFonts w:cs="Times New Roman"/>
          <w:szCs w:val="24"/>
        </w:rPr>
        <w:fldChar w:fldCharType="begin"/>
      </w:r>
      <w:r>
        <w:rPr>
          <w:rFonts w:cs="Times New Roman"/>
          <w:szCs w:val="24"/>
        </w:rPr>
        <w:instrText xml:space="preserve"> HYPERLINK \l _Toc11385 </w:instrText>
      </w:r>
      <w:r>
        <w:rPr>
          <w:rFonts w:cs="Times New Roman"/>
          <w:szCs w:val="24"/>
        </w:rPr>
        <w:fldChar w:fldCharType="separate"/>
      </w:r>
      <w:r>
        <w:rPr>
          <w:rFonts w:cs="Times New Roman"/>
        </w:rPr>
        <w:t>6.</w:t>
      </w:r>
      <w:r>
        <w:rPr>
          <w:rFonts w:hint="eastAsia" w:cs="Times New Roman"/>
        </w:rPr>
        <w:t xml:space="preserve">2  </w:t>
      </w:r>
      <w:r>
        <w:rPr>
          <w:rFonts w:cs="Times New Roman"/>
          <w:bCs w:val="0"/>
        </w:rPr>
        <w:t>勘察阶段交付物及要求</w:t>
      </w:r>
      <w:r>
        <w:tab/>
      </w:r>
      <w:r>
        <w:fldChar w:fldCharType="begin"/>
      </w:r>
      <w:r>
        <w:instrText xml:space="preserve"> PAGEREF _Toc11385 \h </w:instrText>
      </w:r>
      <w:r>
        <w:fldChar w:fldCharType="separate"/>
      </w:r>
      <w:r>
        <w:t>34</w:t>
      </w:r>
      <w:r>
        <w:fldChar w:fldCharType="end"/>
      </w:r>
      <w:r>
        <w:rPr>
          <w:rFonts w:cs="Times New Roman"/>
          <w:szCs w:val="24"/>
        </w:rPr>
        <w:fldChar w:fldCharType="end"/>
      </w:r>
    </w:p>
    <w:p w14:paraId="5C3CB3FB">
      <w:pPr>
        <w:pStyle w:val="14"/>
        <w:tabs>
          <w:tab w:val="right" w:leader="dot" w:pos="8306"/>
        </w:tabs>
      </w:pPr>
      <w:r>
        <w:rPr>
          <w:rFonts w:cs="Times New Roman"/>
          <w:szCs w:val="24"/>
        </w:rPr>
        <w:fldChar w:fldCharType="begin"/>
      </w:r>
      <w:r>
        <w:rPr>
          <w:rFonts w:cs="Times New Roman"/>
          <w:szCs w:val="24"/>
        </w:rPr>
        <w:instrText xml:space="preserve"> HYPERLINK \l _Toc7159 </w:instrText>
      </w:r>
      <w:r>
        <w:rPr>
          <w:rFonts w:cs="Times New Roman"/>
          <w:szCs w:val="24"/>
        </w:rPr>
        <w:fldChar w:fldCharType="separate"/>
      </w:r>
      <w:r>
        <w:rPr>
          <w:rFonts w:cs="Times New Roman"/>
        </w:rPr>
        <w:t>6.</w:t>
      </w:r>
      <w:r>
        <w:rPr>
          <w:rFonts w:hint="eastAsia" w:cs="Times New Roman"/>
        </w:rPr>
        <w:t xml:space="preserve">3  </w:t>
      </w:r>
      <w:r>
        <w:rPr>
          <w:rFonts w:cs="Times New Roman"/>
          <w:bCs w:val="0"/>
        </w:rPr>
        <w:t>设计阶段交付物及要求</w:t>
      </w:r>
      <w:r>
        <w:tab/>
      </w:r>
      <w:r>
        <w:fldChar w:fldCharType="begin"/>
      </w:r>
      <w:r>
        <w:instrText xml:space="preserve"> PAGEREF _Toc7159 \h </w:instrText>
      </w:r>
      <w:r>
        <w:fldChar w:fldCharType="separate"/>
      </w:r>
      <w:r>
        <w:t>35</w:t>
      </w:r>
      <w:r>
        <w:fldChar w:fldCharType="end"/>
      </w:r>
      <w:r>
        <w:rPr>
          <w:rFonts w:cs="Times New Roman"/>
          <w:szCs w:val="24"/>
        </w:rPr>
        <w:fldChar w:fldCharType="end"/>
      </w:r>
    </w:p>
    <w:p w14:paraId="175CA7C4">
      <w:pPr>
        <w:pStyle w:val="14"/>
        <w:tabs>
          <w:tab w:val="right" w:leader="dot" w:pos="8306"/>
        </w:tabs>
      </w:pPr>
      <w:r>
        <w:rPr>
          <w:rFonts w:cs="Times New Roman"/>
          <w:szCs w:val="24"/>
        </w:rPr>
        <w:fldChar w:fldCharType="begin"/>
      </w:r>
      <w:r>
        <w:rPr>
          <w:rFonts w:cs="Times New Roman"/>
          <w:szCs w:val="24"/>
        </w:rPr>
        <w:instrText xml:space="preserve"> HYPERLINK \l _Toc14268 </w:instrText>
      </w:r>
      <w:r>
        <w:rPr>
          <w:rFonts w:cs="Times New Roman"/>
          <w:szCs w:val="24"/>
        </w:rPr>
        <w:fldChar w:fldCharType="separate"/>
      </w:r>
      <w:r>
        <w:rPr>
          <w:rFonts w:cs="Times New Roman"/>
        </w:rPr>
        <w:t>6.</w:t>
      </w:r>
      <w:r>
        <w:rPr>
          <w:rFonts w:hint="eastAsia" w:cs="Times New Roman"/>
        </w:rPr>
        <w:t xml:space="preserve">4  </w:t>
      </w:r>
      <w:r>
        <w:rPr>
          <w:rFonts w:cs="Times New Roman"/>
          <w:bCs w:val="0"/>
        </w:rPr>
        <w:t>施工阶段交付物及要求</w:t>
      </w:r>
      <w:r>
        <w:tab/>
      </w:r>
      <w:r>
        <w:fldChar w:fldCharType="begin"/>
      </w:r>
      <w:r>
        <w:instrText xml:space="preserve"> PAGEREF _Toc14268 \h </w:instrText>
      </w:r>
      <w:r>
        <w:fldChar w:fldCharType="separate"/>
      </w:r>
      <w:r>
        <w:t>35</w:t>
      </w:r>
      <w:r>
        <w:fldChar w:fldCharType="end"/>
      </w:r>
      <w:r>
        <w:rPr>
          <w:rFonts w:cs="Times New Roman"/>
          <w:szCs w:val="24"/>
        </w:rPr>
        <w:fldChar w:fldCharType="end"/>
      </w:r>
    </w:p>
    <w:p w14:paraId="3A5DF7E2">
      <w:pPr>
        <w:pStyle w:val="14"/>
        <w:tabs>
          <w:tab w:val="right" w:leader="dot" w:pos="8306"/>
        </w:tabs>
      </w:pPr>
      <w:r>
        <w:rPr>
          <w:rFonts w:cs="Times New Roman"/>
          <w:szCs w:val="24"/>
        </w:rPr>
        <w:fldChar w:fldCharType="begin"/>
      </w:r>
      <w:r>
        <w:rPr>
          <w:rFonts w:cs="Times New Roman"/>
          <w:szCs w:val="24"/>
        </w:rPr>
        <w:instrText xml:space="preserve"> HYPERLINK \l _Toc19679 </w:instrText>
      </w:r>
      <w:r>
        <w:rPr>
          <w:rFonts w:cs="Times New Roman"/>
          <w:szCs w:val="24"/>
        </w:rPr>
        <w:fldChar w:fldCharType="separate"/>
      </w:r>
      <w:r>
        <w:rPr>
          <w:rFonts w:cs="Times New Roman"/>
          <w:bCs w:val="0"/>
        </w:rPr>
        <w:t>6.</w:t>
      </w:r>
      <w:r>
        <w:rPr>
          <w:rFonts w:hint="eastAsia" w:cs="Times New Roman"/>
          <w:bCs w:val="0"/>
          <w:lang w:val="en-US" w:eastAsia="zh-CN"/>
        </w:rPr>
        <w:t>5</w:t>
      </w:r>
      <w:r>
        <w:rPr>
          <w:rFonts w:cs="Times New Roman"/>
        </w:rPr>
        <w:t xml:space="preserve"> </w:t>
      </w:r>
      <w:r>
        <w:rPr>
          <w:rFonts w:hint="eastAsia" w:cs="Times New Roman"/>
        </w:rPr>
        <w:t xml:space="preserve"> </w:t>
      </w:r>
      <w:r>
        <w:rPr>
          <w:rFonts w:cs="Times New Roman"/>
          <w:bCs w:val="0"/>
        </w:rPr>
        <w:t>交付形式</w:t>
      </w:r>
      <w:r>
        <w:tab/>
      </w:r>
      <w:r>
        <w:fldChar w:fldCharType="begin"/>
      </w:r>
      <w:r>
        <w:instrText xml:space="preserve"> PAGEREF _Toc19679 \h </w:instrText>
      </w:r>
      <w:r>
        <w:fldChar w:fldCharType="separate"/>
      </w:r>
      <w:r>
        <w:t>36</w:t>
      </w:r>
      <w:r>
        <w:fldChar w:fldCharType="end"/>
      </w:r>
      <w:r>
        <w:rPr>
          <w:rFonts w:cs="Times New Roman"/>
          <w:szCs w:val="24"/>
        </w:rPr>
        <w:fldChar w:fldCharType="end"/>
      </w:r>
    </w:p>
    <w:p w14:paraId="59CAD8FC">
      <w:pPr>
        <w:pStyle w:val="14"/>
        <w:tabs>
          <w:tab w:val="right" w:leader="dot" w:pos="8306"/>
        </w:tabs>
      </w:pPr>
      <w:r>
        <w:rPr>
          <w:rFonts w:cs="Times New Roman"/>
          <w:szCs w:val="24"/>
        </w:rPr>
        <w:fldChar w:fldCharType="begin"/>
      </w:r>
      <w:r>
        <w:rPr>
          <w:rFonts w:cs="Times New Roman"/>
          <w:szCs w:val="24"/>
        </w:rPr>
        <w:instrText xml:space="preserve"> HYPERLINK \l _Toc7830 </w:instrText>
      </w:r>
      <w:r>
        <w:rPr>
          <w:rFonts w:cs="Times New Roman"/>
          <w:szCs w:val="24"/>
        </w:rPr>
        <w:fldChar w:fldCharType="separate"/>
      </w:r>
      <w:r>
        <w:rPr>
          <w:rFonts w:cs="Times New Roman"/>
        </w:rPr>
        <w:t>6.</w:t>
      </w:r>
      <w:r>
        <w:rPr>
          <w:rFonts w:hint="eastAsia" w:cs="Times New Roman"/>
          <w:lang w:val="en-US" w:eastAsia="zh-CN"/>
        </w:rPr>
        <w:t>6</w:t>
      </w:r>
      <w:r>
        <w:rPr>
          <w:rFonts w:cs="Times New Roman"/>
        </w:rPr>
        <w:t xml:space="preserve">  </w:t>
      </w:r>
      <w:r>
        <w:rPr>
          <w:rFonts w:cs="Times New Roman"/>
          <w:bCs w:val="0"/>
        </w:rPr>
        <w:t>其他交付要求</w:t>
      </w:r>
      <w:r>
        <w:tab/>
      </w:r>
      <w:r>
        <w:fldChar w:fldCharType="begin"/>
      </w:r>
      <w:r>
        <w:instrText xml:space="preserve"> PAGEREF _Toc7830 \h </w:instrText>
      </w:r>
      <w:r>
        <w:fldChar w:fldCharType="separate"/>
      </w:r>
      <w:r>
        <w:t>37</w:t>
      </w:r>
      <w:r>
        <w:fldChar w:fldCharType="end"/>
      </w:r>
      <w:r>
        <w:rPr>
          <w:rFonts w:cs="Times New Roman"/>
          <w:szCs w:val="24"/>
        </w:rPr>
        <w:fldChar w:fldCharType="end"/>
      </w:r>
    </w:p>
    <w:p w14:paraId="4A5C7CA6">
      <w:pPr>
        <w:pStyle w:val="14"/>
        <w:tabs>
          <w:tab w:val="right" w:leader="dot" w:pos="8306"/>
        </w:tabs>
      </w:pPr>
      <w:r>
        <w:rPr>
          <w:rFonts w:cs="Times New Roman"/>
          <w:szCs w:val="24"/>
        </w:rPr>
        <w:fldChar w:fldCharType="begin"/>
      </w:r>
      <w:r>
        <w:rPr>
          <w:rFonts w:cs="Times New Roman"/>
          <w:szCs w:val="24"/>
        </w:rPr>
        <w:instrText xml:space="preserve"> HYPERLINK \l _Toc22207 </w:instrText>
      </w:r>
      <w:r>
        <w:rPr>
          <w:rFonts w:cs="Times New Roman"/>
          <w:szCs w:val="24"/>
        </w:rPr>
        <w:fldChar w:fldCharType="separate"/>
      </w:r>
      <w:r>
        <w:rPr>
          <w:rFonts w:cs="Times New Roman"/>
        </w:rPr>
        <w:t>6.</w:t>
      </w:r>
      <w:r>
        <w:rPr>
          <w:rFonts w:hint="eastAsia" w:cs="Times New Roman"/>
          <w:lang w:val="en-US" w:eastAsia="zh-CN"/>
        </w:rPr>
        <w:t>7</w:t>
      </w:r>
      <w:r>
        <w:rPr>
          <w:rFonts w:cs="Times New Roman"/>
        </w:rPr>
        <w:t xml:space="preserve">  </w:t>
      </w:r>
      <w:r>
        <w:rPr>
          <w:rFonts w:cs="Times New Roman"/>
          <w:bCs w:val="0"/>
        </w:rPr>
        <w:t>数字化交付流程</w:t>
      </w:r>
      <w:r>
        <w:tab/>
      </w:r>
      <w:r>
        <w:fldChar w:fldCharType="begin"/>
      </w:r>
      <w:r>
        <w:instrText xml:space="preserve"> PAGEREF _Toc22207 \h </w:instrText>
      </w:r>
      <w:r>
        <w:fldChar w:fldCharType="separate"/>
      </w:r>
      <w:r>
        <w:t>38</w:t>
      </w:r>
      <w:r>
        <w:fldChar w:fldCharType="end"/>
      </w:r>
      <w:r>
        <w:rPr>
          <w:rFonts w:cs="Times New Roman"/>
          <w:szCs w:val="24"/>
        </w:rPr>
        <w:fldChar w:fldCharType="end"/>
      </w:r>
    </w:p>
    <w:p w14:paraId="508DA8D0">
      <w:pPr>
        <w:pStyle w:val="13"/>
        <w:tabs>
          <w:tab w:val="right" w:leader="dot" w:pos="8306"/>
        </w:tabs>
      </w:pPr>
      <w:r>
        <w:rPr>
          <w:rFonts w:cs="Times New Roman"/>
          <w:szCs w:val="24"/>
        </w:rPr>
        <w:fldChar w:fldCharType="begin"/>
      </w:r>
      <w:r>
        <w:rPr>
          <w:rFonts w:cs="Times New Roman"/>
          <w:szCs w:val="24"/>
        </w:rPr>
        <w:instrText xml:space="preserve"> HYPERLINK \l _Toc17479 </w:instrText>
      </w:r>
      <w:r>
        <w:rPr>
          <w:rFonts w:cs="Times New Roman"/>
          <w:szCs w:val="24"/>
        </w:rPr>
        <w:fldChar w:fldCharType="separate"/>
      </w:r>
      <w:r>
        <w:rPr>
          <w:rFonts w:cs="Times New Roman"/>
          <w:lang w:val="zh-CN"/>
        </w:rPr>
        <w:t>附录A交付物要求</w:t>
      </w:r>
      <w:r>
        <w:tab/>
      </w:r>
      <w:r>
        <w:fldChar w:fldCharType="begin"/>
      </w:r>
      <w:r>
        <w:instrText xml:space="preserve"> PAGEREF _Toc17479 \h </w:instrText>
      </w:r>
      <w:r>
        <w:fldChar w:fldCharType="separate"/>
      </w:r>
      <w:r>
        <w:t>41</w:t>
      </w:r>
      <w:r>
        <w:fldChar w:fldCharType="end"/>
      </w:r>
      <w:r>
        <w:rPr>
          <w:rFonts w:cs="Times New Roman"/>
          <w:szCs w:val="24"/>
        </w:rPr>
        <w:fldChar w:fldCharType="end"/>
      </w:r>
    </w:p>
    <w:p w14:paraId="305795DD">
      <w:pPr>
        <w:pStyle w:val="14"/>
        <w:tabs>
          <w:tab w:val="right" w:leader="dot" w:pos="8306"/>
        </w:tabs>
      </w:pPr>
      <w:r>
        <w:rPr>
          <w:rFonts w:cs="Times New Roman"/>
          <w:szCs w:val="24"/>
        </w:rPr>
        <w:fldChar w:fldCharType="begin"/>
      </w:r>
      <w:r>
        <w:rPr>
          <w:rFonts w:cs="Times New Roman"/>
          <w:szCs w:val="24"/>
        </w:rPr>
        <w:instrText xml:space="preserve"> HYPERLINK \l _Toc8147 </w:instrText>
      </w:r>
      <w:r>
        <w:rPr>
          <w:rFonts w:cs="Times New Roman"/>
          <w:szCs w:val="24"/>
        </w:rPr>
        <w:fldChar w:fldCharType="separate"/>
      </w:r>
      <w:r>
        <w:rPr>
          <w:rFonts w:cs="Times New Roman"/>
          <w:bCs/>
          <w:szCs w:val="24"/>
        </w:rPr>
        <w:t>A.</w:t>
      </w:r>
      <w:r>
        <w:rPr>
          <w:rFonts w:hint="eastAsia" w:cs="Times New Roman"/>
          <w:bCs/>
          <w:szCs w:val="24"/>
        </w:rPr>
        <w:t>1勘察</w:t>
      </w:r>
      <w:r>
        <w:rPr>
          <w:rFonts w:cs="Times New Roman"/>
          <w:bCs/>
          <w:szCs w:val="24"/>
        </w:rPr>
        <w:t>阶段交付物要求</w:t>
      </w:r>
      <w:r>
        <w:tab/>
      </w:r>
      <w:r>
        <w:fldChar w:fldCharType="begin"/>
      </w:r>
      <w:r>
        <w:instrText xml:space="preserve"> PAGEREF _Toc8147 \h </w:instrText>
      </w:r>
      <w:r>
        <w:fldChar w:fldCharType="separate"/>
      </w:r>
      <w:r>
        <w:t>41</w:t>
      </w:r>
      <w:r>
        <w:fldChar w:fldCharType="end"/>
      </w:r>
      <w:r>
        <w:rPr>
          <w:rFonts w:cs="Times New Roman"/>
          <w:szCs w:val="24"/>
        </w:rPr>
        <w:fldChar w:fldCharType="end"/>
      </w:r>
    </w:p>
    <w:p w14:paraId="60801D83">
      <w:pPr>
        <w:pStyle w:val="14"/>
        <w:tabs>
          <w:tab w:val="right" w:leader="dot" w:pos="8306"/>
        </w:tabs>
      </w:pPr>
      <w:r>
        <w:rPr>
          <w:rFonts w:cs="Times New Roman"/>
          <w:szCs w:val="24"/>
        </w:rPr>
        <w:fldChar w:fldCharType="begin"/>
      </w:r>
      <w:r>
        <w:rPr>
          <w:rFonts w:cs="Times New Roman"/>
          <w:szCs w:val="24"/>
        </w:rPr>
        <w:instrText xml:space="preserve"> HYPERLINK \l _Toc11825 </w:instrText>
      </w:r>
      <w:r>
        <w:rPr>
          <w:rFonts w:cs="Times New Roman"/>
          <w:szCs w:val="24"/>
        </w:rPr>
        <w:fldChar w:fldCharType="separate"/>
      </w:r>
      <w:r>
        <w:rPr>
          <w:rFonts w:cs="Times New Roman"/>
          <w:bCs/>
        </w:rPr>
        <w:t>A.</w:t>
      </w:r>
      <w:r>
        <w:rPr>
          <w:rFonts w:hint="eastAsia" w:cs="Times New Roman"/>
          <w:bCs/>
        </w:rPr>
        <w:t>2</w:t>
      </w:r>
      <w:r>
        <w:rPr>
          <w:rFonts w:cs="Times New Roman"/>
          <w:bCs/>
        </w:rPr>
        <w:t>设计阶段交付物要求</w:t>
      </w:r>
      <w:r>
        <w:tab/>
      </w:r>
      <w:r>
        <w:fldChar w:fldCharType="begin"/>
      </w:r>
      <w:r>
        <w:instrText xml:space="preserve"> PAGEREF _Toc11825 \h </w:instrText>
      </w:r>
      <w:r>
        <w:fldChar w:fldCharType="separate"/>
      </w:r>
      <w:r>
        <w:t>42</w:t>
      </w:r>
      <w:r>
        <w:fldChar w:fldCharType="end"/>
      </w:r>
      <w:r>
        <w:rPr>
          <w:rFonts w:cs="Times New Roman"/>
          <w:szCs w:val="24"/>
        </w:rPr>
        <w:fldChar w:fldCharType="end"/>
      </w:r>
    </w:p>
    <w:p w14:paraId="12914182">
      <w:pPr>
        <w:pStyle w:val="14"/>
        <w:tabs>
          <w:tab w:val="right" w:leader="dot" w:pos="8306"/>
        </w:tabs>
      </w:pPr>
      <w:r>
        <w:rPr>
          <w:rFonts w:cs="Times New Roman"/>
          <w:szCs w:val="24"/>
        </w:rPr>
        <w:fldChar w:fldCharType="begin"/>
      </w:r>
      <w:r>
        <w:rPr>
          <w:rFonts w:cs="Times New Roman"/>
          <w:szCs w:val="24"/>
        </w:rPr>
        <w:instrText xml:space="preserve"> HYPERLINK \l _Toc14273 </w:instrText>
      </w:r>
      <w:r>
        <w:rPr>
          <w:rFonts w:cs="Times New Roman"/>
          <w:szCs w:val="24"/>
        </w:rPr>
        <w:fldChar w:fldCharType="separate"/>
      </w:r>
      <w:r>
        <w:rPr>
          <w:rFonts w:cs="Times New Roman"/>
          <w:bCs/>
        </w:rPr>
        <w:t>A.</w:t>
      </w:r>
      <w:r>
        <w:rPr>
          <w:rFonts w:hint="eastAsia" w:cs="Times New Roman"/>
          <w:bCs/>
        </w:rPr>
        <w:t>3</w:t>
      </w:r>
      <w:r>
        <w:rPr>
          <w:rFonts w:cs="Times New Roman"/>
          <w:bCs/>
        </w:rPr>
        <w:t>施工阶段交付物要求</w:t>
      </w:r>
      <w:r>
        <w:tab/>
      </w:r>
      <w:r>
        <w:fldChar w:fldCharType="begin"/>
      </w:r>
      <w:r>
        <w:instrText xml:space="preserve"> PAGEREF _Toc14273 \h </w:instrText>
      </w:r>
      <w:r>
        <w:fldChar w:fldCharType="separate"/>
      </w:r>
      <w:r>
        <w:t>45</w:t>
      </w:r>
      <w:r>
        <w:fldChar w:fldCharType="end"/>
      </w:r>
      <w:r>
        <w:rPr>
          <w:rFonts w:cs="Times New Roman"/>
          <w:szCs w:val="24"/>
        </w:rPr>
        <w:fldChar w:fldCharType="end"/>
      </w:r>
    </w:p>
    <w:p w14:paraId="50AC1E76">
      <w:pPr>
        <w:pStyle w:val="13"/>
        <w:tabs>
          <w:tab w:val="right" w:leader="dot" w:pos="8296"/>
        </w:tabs>
        <w:spacing w:before="156" w:after="156"/>
        <w:ind w:firstLine="440"/>
        <w:rPr>
          <w:rFonts w:cs="Times New Roman"/>
        </w:rPr>
      </w:pPr>
      <w:r>
        <w:rPr>
          <w:rFonts w:cs="Times New Roman"/>
          <w:szCs w:val="24"/>
        </w:rPr>
        <w:fldChar w:fldCharType="end"/>
      </w:r>
    </w:p>
    <w:p w14:paraId="53625A5B">
      <w:pPr>
        <w:spacing w:before="156" w:after="156"/>
        <w:ind w:firstLine="199" w:firstLineChars="83"/>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14:paraId="4C311F77">
      <w:pPr>
        <w:pStyle w:val="2"/>
        <w:spacing w:before="156" w:after="156"/>
        <w:ind w:firstLine="0" w:firstLineChars="0"/>
        <w:rPr>
          <w:rFonts w:cs="Times New Roman"/>
          <w:b w:val="0"/>
        </w:rPr>
      </w:pPr>
      <w:bookmarkStart w:id="3" w:name="_Toc9287"/>
      <w:bookmarkStart w:id="4" w:name="_Toc3918"/>
      <w:r>
        <w:rPr>
          <w:rFonts w:cs="Times New Roman"/>
        </w:rPr>
        <w:t xml:space="preserve">1  </w:t>
      </w:r>
      <w:r>
        <w:rPr>
          <w:rFonts w:cs="Times New Roman"/>
          <w:b w:val="0"/>
        </w:rPr>
        <w:t>总则</w:t>
      </w:r>
      <w:bookmarkEnd w:id="3"/>
      <w:bookmarkEnd w:id="4"/>
    </w:p>
    <w:p w14:paraId="1390EA48">
      <w:pPr>
        <w:pStyle w:val="7"/>
        <w:spacing w:before="156" w:after="156"/>
        <w:ind w:firstLine="0" w:firstLineChars="0"/>
        <w:rPr>
          <w:rFonts w:ascii="Times New Roman" w:hAnsi="Times New Roman"/>
        </w:rPr>
      </w:pPr>
      <w:r>
        <w:rPr>
          <w:rFonts w:ascii="Times New Roman" w:hAnsi="Times New Roman"/>
          <w:b/>
        </w:rPr>
        <w:t>1.0.1</w:t>
      </w:r>
      <w:r>
        <w:rPr>
          <w:rFonts w:ascii="Times New Roman" w:hAnsi="Times New Roman"/>
        </w:rPr>
        <w:t xml:space="preserve">  为指导和规范建设项目</w:t>
      </w:r>
      <w:r>
        <w:rPr>
          <w:rFonts w:hint="eastAsia" w:ascii="Times New Roman" w:hAnsi="Times New Roman"/>
        </w:rPr>
        <w:t>各阶段</w:t>
      </w:r>
      <w:r>
        <w:rPr>
          <w:rFonts w:ascii="Times New Roman" w:hAnsi="Times New Roman"/>
        </w:rPr>
        <w:t>建筑信息模型数字化</w:t>
      </w:r>
      <w:r>
        <w:rPr>
          <w:rFonts w:hint="eastAsia" w:ascii="Times New Roman" w:hAnsi="Times New Roman"/>
        </w:rPr>
        <w:t>成果的</w:t>
      </w:r>
      <w:r>
        <w:rPr>
          <w:rFonts w:hint="eastAsia" w:ascii="Times New Roman" w:hAnsi="Times New Roman"/>
          <w:lang w:val="en-US" w:eastAsia="zh-CN"/>
        </w:rPr>
        <w:t>交付</w:t>
      </w:r>
      <w:r>
        <w:rPr>
          <w:rFonts w:ascii="Times New Roman" w:hAnsi="Times New Roman"/>
        </w:rPr>
        <w:t>，保证数字化</w:t>
      </w:r>
      <w:r>
        <w:rPr>
          <w:rFonts w:hint="eastAsia" w:ascii="Times New Roman" w:hAnsi="Times New Roman"/>
        </w:rPr>
        <w:t>成果</w:t>
      </w:r>
      <w:r>
        <w:rPr>
          <w:rFonts w:hint="eastAsia" w:ascii="Times New Roman" w:hAnsi="Times New Roman"/>
          <w:lang w:val="en-US" w:eastAsia="zh-CN"/>
        </w:rPr>
        <w:t>交付</w:t>
      </w:r>
      <w:r>
        <w:rPr>
          <w:rFonts w:ascii="Times New Roman" w:hAnsi="Times New Roman"/>
        </w:rPr>
        <w:t>的规范性和安全性，促进青岛市建筑信息模型（BIM）技术发展，制定本导则。</w:t>
      </w:r>
    </w:p>
    <w:p w14:paraId="39787BA9">
      <w:pPr>
        <w:widowControl/>
        <w:spacing w:before="156" w:after="156"/>
        <w:ind w:firstLine="0" w:firstLineChars="0"/>
        <w:jc w:val="left"/>
        <w:rPr>
          <w:rFonts w:cs="Times New Roman"/>
        </w:rPr>
      </w:pPr>
      <w:r>
        <w:rPr>
          <w:rFonts w:cs="Times New Roman"/>
          <w:b/>
        </w:rPr>
        <w:t>1.0.2</w:t>
      </w:r>
      <w:r>
        <w:rPr>
          <w:rFonts w:cs="Times New Roman"/>
        </w:rPr>
        <w:t xml:space="preserve">  本导则适用于青岛市房屋建筑工程</w:t>
      </w:r>
      <w:r>
        <w:rPr>
          <w:rFonts w:hint="eastAsia" w:cs="Times New Roman"/>
        </w:rPr>
        <w:t>项目</w:t>
      </w:r>
      <w:r>
        <w:rPr>
          <w:rFonts w:ascii="ROG Fonts" w:hAnsi="ROG Fonts" w:eastAsia="ROG Fonts" w:cs="ROG Fonts"/>
          <w:color w:val="000000"/>
          <w:kern w:val="0"/>
          <w:szCs w:val="24"/>
          <w:lang w:bidi="ar"/>
        </w:rPr>
        <w:t>在勘察</w:t>
      </w:r>
      <w:r>
        <w:rPr>
          <w:rFonts w:hint="eastAsia" w:ascii="ROG Fonts" w:hAnsi="ROG Fonts" w:cs="ROG Fonts"/>
          <w:color w:val="000000"/>
          <w:kern w:val="0"/>
          <w:szCs w:val="24"/>
          <w:lang w:eastAsia="zh-CN" w:bidi="ar"/>
        </w:rPr>
        <w:t>、</w:t>
      </w:r>
      <w:r>
        <w:rPr>
          <w:rFonts w:ascii="ROG Fonts" w:hAnsi="ROG Fonts" w:eastAsia="ROG Fonts" w:cs="ROG Fonts"/>
          <w:color w:val="000000"/>
          <w:kern w:val="0"/>
          <w:szCs w:val="24"/>
          <w:lang w:bidi="ar"/>
        </w:rPr>
        <w:t>设计、施工等阶段的建筑信息模型的数字化</w:t>
      </w:r>
      <w:r>
        <w:rPr>
          <w:rFonts w:hint="eastAsia" w:ascii="ROG Fonts" w:hAnsi="ROG Fonts" w:eastAsia="ROG Fonts" w:cs="ROG Fonts"/>
          <w:color w:val="000000"/>
          <w:kern w:val="0"/>
          <w:szCs w:val="24"/>
          <w:lang w:bidi="ar"/>
        </w:rPr>
        <w:t>成果</w:t>
      </w:r>
      <w:r>
        <w:rPr>
          <w:rFonts w:hint="eastAsia" w:ascii="ROG Fonts" w:hAnsi="ROG Fonts" w:cs="ROG Fonts"/>
          <w:color w:val="000000"/>
          <w:kern w:val="0"/>
          <w:szCs w:val="24"/>
          <w:lang w:val="en-US" w:eastAsia="zh-CN" w:bidi="ar"/>
        </w:rPr>
        <w:t>交付</w:t>
      </w:r>
      <w:r>
        <w:rPr>
          <w:rFonts w:hint="eastAsia" w:ascii="ROG Fonts" w:hAnsi="ROG Fonts" w:eastAsia="ROG Fonts" w:cs="ROG Fonts"/>
          <w:color w:val="000000"/>
          <w:kern w:val="0"/>
          <w:szCs w:val="24"/>
          <w:lang w:bidi="ar"/>
        </w:rPr>
        <w:t>的应用。</w:t>
      </w:r>
    </w:p>
    <w:p w14:paraId="5E2CE260">
      <w:pPr>
        <w:pStyle w:val="7"/>
        <w:spacing w:before="156" w:after="156"/>
        <w:ind w:firstLine="0" w:firstLineChars="0"/>
        <w:rPr>
          <w:rFonts w:ascii="Times New Roman" w:hAnsi="Times New Roman"/>
        </w:rPr>
      </w:pPr>
      <w:r>
        <w:rPr>
          <w:rFonts w:ascii="Times New Roman" w:hAnsi="Times New Roman"/>
          <w:b/>
        </w:rPr>
        <w:t>1.0.3</w:t>
      </w:r>
      <w:r>
        <w:rPr>
          <w:rFonts w:ascii="Times New Roman" w:hAnsi="Times New Roman"/>
        </w:rPr>
        <w:t xml:space="preserve">  建筑信息模型的数字化</w:t>
      </w:r>
      <w:r>
        <w:rPr>
          <w:rFonts w:hint="eastAsia" w:ascii="Times New Roman" w:hAnsi="Times New Roman"/>
        </w:rPr>
        <w:t>成果</w:t>
      </w:r>
      <w:r>
        <w:rPr>
          <w:rFonts w:hint="eastAsia" w:ascii="Times New Roman" w:hAnsi="Times New Roman"/>
          <w:lang w:val="en-US" w:eastAsia="zh-CN"/>
        </w:rPr>
        <w:t>交付</w:t>
      </w:r>
      <w:r>
        <w:rPr>
          <w:rFonts w:ascii="Times New Roman" w:hAnsi="Times New Roman"/>
        </w:rPr>
        <w:t>，除应符合本导则外，尚应符合国家、山东省和青岛市现行有关标准的规定。</w:t>
      </w:r>
    </w:p>
    <w:p w14:paraId="7AF570DC">
      <w:pPr>
        <w:widowControl/>
        <w:spacing w:beforeLines="0" w:afterLines="0" w:line="240" w:lineRule="auto"/>
        <w:ind w:firstLine="0" w:firstLineChars="0"/>
        <w:jc w:val="left"/>
        <w:rPr>
          <w:rFonts w:cs="Times New Roman"/>
          <w:b/>
          <w:bCs/>
          <w:kern w:val="44"/>
          <w:sz w:val="30"/>
          <w:szCs w:val="44"/>
        </w:rPr>
      </w:pPr>
      <w:r>
        <w:rPr>
          <w:rFonts w:cs="Times New Roman"/>
        </w:rPr>
        <w:br w:type="page"/>
      </w:r>
    </w:p>
    <w:p w14:paraId="34F7AF05">
      <w:pPr>
        <w:pStyle w:val="2"/>
        <w:spacing w:before="156" w:after="156"/>
        <w:ind w:firstLine="0" w:firstLineChars="0"/>
        <w:rPr>
          <w:rFonts w:cs="Times New Roman"/>
          <w:b w:val="0"/>
        </w:rPr>
      </w:pPr>
      <w:bookmarkStart w:id="5" w:name="_Toc4306"/>
      <w:bookmarkStart w:id="6" w:name="_Toc4977"/>
      <w:r>
        <w:rPr>
          <w:rFonts w:cs="Times New Roman"/>
        </w:rPr>
        <w:t xml:space="preserve">2  </w:t>
      </w:r>
      <w:r>
        <w:rPr>
          <w:rFonts w:cs="Times New Roman"/>
          <w:b w:val="0"/>
          <w:bCs/>
        </w:rPr>
        <w:t>术语</w:t>
      </w:r>
      <w:bookmarkEnd w:id="5"/>
      <w:r>
        <w:rPr>
          <w:rFonts w:cs="Times New Roman"/>
          <w:b w:val="0"/>
          <w:bCs/>
        </w:rPr>
        <w:t>及缩略语</w:t>
      </w:r>
      <w:bookmarkEnd w:id="6"/>
    </w:p>
    <w:p w14:paraId="1D02197A">
      <w:pPr>
        <w:pStyle w:val="3"/>
        <w:spacing w:before="156" w:after="156"/>
        <w:ind w:firstLine="0" w:firstLineChars="0"/>
        <w:rPr>
          <w:rFonts w:cs="Times New Roman"/>
        </w:rPr>
      </w:pPr>
      <w:bookmarkStart w:id="7" w:name="_Toc21586"/>
      <w:bookmarkStart w:id="8" w:name="_Toc28911"/>
      <w:r>
        <w:rPr>
          <w:rFonts w:cs="Times New Roman"/>
        </w:rPr>
        <w:t xml:space="preserve">2.1  </w:t>
      </w:r>
      <w:r>
        <w:rPr>
          <w:rFonts w:cs="Times New Roman"/>
          <w:b w:val="0"/>
        </w:rPr>
        <w:t>术语</w:t>
      </w:r>
      <w:bookmarkEnd w:id="7"/>
      <w:bookmarkEnd w:id="8"/>
    </w:p>
    <w:p w14:paraId="74981BCF">
      <w:pPr>
        <w:spacing w:before="156" w:after="156"/>
        <w:ind w:firstLine="0" w:firstLineChars="0"/>
        <w:jc w:val="left"/>
        <w:rPr>
          <w:rFonts w:cs="Times New Roman"/>
          <w:szCs w:val="21"/>
        </w:rPr>
      </w:pPr>
      <w:r>
        <w:rPr>
          <w:rFonts w:cs="Times New Roman"/>
          <w:b/>
        </w:rPr>
        <w:t xml:space="preserve">2.1.1  </w:t>
      </w:r>
      <w:r>
        <w:rPr>
          <w:rFonts w:cs="Times New Roman"/>
        </w:rPr>
        <w:t>建筑信息模型</w:t>
      </w:r>
      <w:r>
        <w:rPr>
          <w:rFonts w:hint="eastAsia" w:cs="Times New Roman"/>
          <w:lang w:val="en-US" w:eastAsia="zh-CN"/>
        </w:rPr>
        <w:t xml:space="preserve"> </w:t>
      </w:r>
      <w:r>
        <w:rPr>
          <w:rFonts w:hint="eastAsia" w:cs="Times New Roman"/>
        </w:rPr>
        <w:t>b</w:t>
      </w:r>
      <w:r>
        <w:rPr>
          <w:rFonts w:cs="Times New Roman"/>
        </w:rPr>
        <w:t>uilding information modeling，building information model</w:t>
      </w:r>
      <w:r>
        <w:rPr>
          <w:rFonts w:hint="eastAsia" w:cs="Times New Roman"/>
          <w:lang w:val="en-US" w:eastAsia="zh-CN"/>
        </w:rPr>
        <w:t xml:space="preserve"> </w:t>
      </w:r>
      <w:r>
        <w:rPr>
          <w:rFonts w:cs="Times New Roman"/>
        </w:rPr>
        <w:t>(BIM)</w:t>
      </w:r>
    </w:p>
    <w:p w14:paraId="0A6FC0C6">
      <w:pPr>
        <w:spacing w:before="156" w:after="156"/>
        <w:ind w:firstLine="480"/>
        <w:rPr>
          <w:rFonts w:cs="Times New Roman"/>
          <w:szCs w:val="21"/>
        </w:rPr>
      </w:pPr>
      <w:r>
        <w:rPr>
          <w:rFonts w:cs="Times New Roman"/>
          <w:szCs w:val="21"/>
        </w:rPr>
        <w:t>在建筑工程及设施全生命期内</w:t>
      </w:r>
      <w:bookmarkStart w:id="73" w:name="_GoBack"/>
      <w:bookmarkEnd w:id="73"/>
      <w:r>
        <w:rPr>
          <w:rFonts w:cs="Times New Roman"/>
          <w:szCs w:val="21"/>
        </w:rPr>
        <w:t>，对其物理和功能特性进行数字化表达，并依此设计、施工、运维的过程和结果的总称。简称模型。</w:t>
      </w:r>
    </w:p>
    <w:p w14:paraId="19D99A3F">
      <w:pPr>
        <w:spacing w:before="156" w:after="156"/>
        <w:ind w:firstLine="0" w:firstLineChars="0"/>
        <w:rPr>
          <w:rFonts w:cs="Times New Roman"/>
        </w:rPr>
      </w:pPr>
      <w:r>
        <w:rPr>
          <w:rFonts w:cs="Times New Roman"/>
          <w:b/>
        </w:rPr>
        <w:t>2.1.</w:t>
      </w:r>
      <w:r>
        <w:rPr>
          <w:rFonts w:hint="eastAsia" w:cs="Times New Roman"/>
          <w:b/>
          <w:lang w:val="en-US" w:eastAsia="zh-CN"/>
        </w:rPr>
        <w:t>2</w:t>
      </w:r>
      <w:r>
        <w:rPr>
          <w:rFonts w:cs="Times New Roman"/>
          <w:b/>
        </w:rPr>
        <w:t xml:space="preserve">  </w:t>
      </w:r>
      <w:r>
        <w:rPr>
          <w:rFonts w:cs="Times New Roman"/>
        </w:rPr>
        <w:t xml:space="preserve">模型单元 model unit </w:t>
      </w:r>
    </w:p>
    <w:p w14:paraId="4BFF10BE">
      <w:pPr>
        <w:spacing w:before="156" w:after="156"/>
        <w:ind w:firstLine="480"/>
        <w:rPr>
          <w:rFonts w:cs="Times New Roman"/>
          <w:szCs w:val="21"/>
        </w:rPr>
      </w:pPr>
      <w:r>
        <w:rPr>
          <w:rFonts w:cs="Times New Roman"/>
        </w:rPr>
        <w:t>建筑信息模型中承载建筑信息的实体及其相关属性的集合，是工程对象的数字化表达</w:t>
      </w:r>
      <w:r>
        <w:rPr>
          <w:rFonts w:cs="Times New Roman"/>
          <w:szCs w:val="21"/>
        </w:rPr>
        <w:t>。</w:t>
      </w:r>
    </w:p>
    <w:p w14:paraId="13322929">
      <w:pPr>
        <w:spacing w:before="156" w:after="156"/>
        <w:ind w:firstLine="0" w:firstLineChars="0"/>
        <w:rPr>
          <w:rFonts w:cs="Times New Roman"/>
        </w:rPr>
      </w:pPr>
      <w:r>
        <w:rPr>
          <w:rFonts w:cs="Times New Roman"/>
          <w:b/>
        </w:rPr>
        <w:t>2.1.</w:t>
      </w:r>
      <w:r>
        <w:rPr>
          <w:rFonts w:hint="eastAsia" w:cs="Times New Roman"/>
          <w:b/>
          <w:lang w:val="en-US" w:eastAsia="zh-CN"/>
        </w:rPr>
        <w:t>3</w:t>
      </w:r>
      <w:r>
        <w:rPr>
          <w:rFonts w:cs="Times New Roman"/>
          <w:b/>
        </w:rPr>
        <w:t xml:space="preserve">  </w:t>
      </w:r>
      <w:r>
        <w:rPr>
          <w:rFonts w:cs="Times New Roman"/>
          <w:kern w:val="0"/>
          <w:lang w:val="zh-CN"/>
        </w:rPr>
        <w:t>模型细度</w:t>
      </w:r>
      <w:r>
        <w:rPr>
          <w:rFonts w:cs="Times New Roman"/>
          <w:kern w:val="0"/>
        </w:rPr>
        <w:t xml:space="preserve">  </w:t>
      </w:r>
      <w:r>
        <w:rPr>
          <w:rFonts w:hint="eastAsia" w:cs="Times New Roman"/>
          <w:kern w:val="0"/>
          <w:lang w:val="en-US" w:eastAsia="zh-CN"/>
        </w:rPr>
        <w:t>l</w:t>
      </w:r>
      <w:r>
        <w:rPr>
          <w:rFonts w:cs="Times New Roman"/>
          <w:kern w:val="0"/>
        </w:rPr>
        <w:t>evel of development</w:t>
      </w:r>
    </w:p>
    <w:p w14:paraId="0661BF19">
      <w:pPr>
        <w:spacing w:before="156" w:after="156"/>
        <w:ind w:firstLine="480"/>
        <w:rPr>
          <w:rFonts w:cs="Times New Roman"/>
          <w:b/>
        </w:rPr>
      </w:pPr>
      <w:r>
        <w:rPr>
          <w:rFonts w:cs="Times New Roman"/>
        </w:rPr>
        <w:t>模型元素组织及几何信息、非几何信息的详细程度。</w:t>
      </w:r>
    </w:p>
    <w:p w14:paraId="6EECD435">
      <w:pPr>
        <w:spacing w:before="156" w:after="156"/>
        <w:ind w:firstLine="0" w:firstLineChars="0"/>
        <w:rPr>
          <w:rFonts w:cs="Times New Roman"/>
          <w:szCs w:val="21"/>
        </w:rPr>
      </w:pPr>
      <w:r>
        <w:rPr>
          <w:rFonts w:cs="Times New Roman"/>
          <w:b/>
          <w:bCs/>
          <w:szCs w:val="21"/>
        </w:rPr>
        <w:t>2.1.</w:t>
      </w:r>
      <w:r>
        <w:rPr>
          <w:rFonts w:hint="eastAsia" w:cs="Times New Roman"/>
          <w:b/>
          <w:bCs/>
          <w:szCs w:val="21"/>
          <w:lang w:val="en-US" w:eastAsia="zh-CN"/>
        </w:rPr>
        <w:t>4</w:t>
      </w:r>
      <w:r>
        <w:rPr>
          <w:rFonts w:cs="Times New Roman"/>
          <w:szCs w:val="21"/>
        </w:rPr>
        <w:t xml:space="preserve"> </w:t>
      </w:r>
      <w:r>
        <w:rPr>
          <w:rFonts w:hint="eastAsia" w:cs="Times New Roman"/>
          <w:szCs w:val="21"/>
        </w:rPr>
        <w:t xml:space="preserve"> </w:t>
      </w:r>
      <w:r>
        <w:rPr>
          <w:rFonts w:cs="Times New Roman"/>
          <w:szCs w:val="21"/>
        </w:rPr>
        <w:t>几何信息 geometric information （G）</w:t>
      </w:r>
    </w:p>
    <w:p w14:paraId="0E95E2F4">
      <w:pPr>
        <w:spacing w:before="156" w:after="156"/>
        <w:ind w:firstLine="480"/>
        <w:rPr>
          <w:rFonts w:cs="Times New Roman"/>
          <w:szCs w:val="21"/>
        </w:rPr>
      </w:pPr>
      <w:r>
        <w:rPr>
          <w:rFonts w:cs="Times New Roman"/>
          <w:szCs w:val="21"/>
        </w:rPr>
        <w:t>几何信息是BIM模型内部和外部空间的几何表达。</w:t>
      </w:r>
    </w:p>
    <w:p w14:paraId="27305B1F">
      <w:pPr>
        <w:spacing w:before="156" w:after="156"/>
        <w:ind w:firstLine="0" w:firstLineChars="0"/>
        <w:rPr>
          <w:rFonts w:cs="Times New Roman"/>
          <w:szCs w:val="21"/>
        </w:rPr>
      </w:pPr>
      <w:r>
        <w:rPr>
          <w:rFonts w:cs="Times New Roman"/>
          <w:b/>
          <w:bCs/>
          <w:szCs w:val="21"/>
        </w:rPr>
        <w:t>2.1.</w:t>
      </w:r>
      <w:r>
        <w:rPr>
          <w:rFonts w:hint="eastAsia" w:cs="Times New Roman"/>
          <w:b/>
          <w:bCs/>
          <w:szCs w:val="21"/>
          <w:lang w:val="en-US" w:eastAsia="zh-CN"/>
        </w:rPr>
        <w:t>5</w:t>
      </w:r>
      <w:r>
        <w:rPr>
          <w:rFonts w:cs="Times New Roman"/>
          <w:b/>
          <w:bCs/>
          <w:szCs w:val="21"/>
        </w:rPr>
        <w:t xml:space="preserve"> </w:t>
      </w:r>
      <w:r>
        <w:rPr>
          <w:rFonts w:hint="eastAsia" w:cs="Times New Roman"/>
          <w:b/>
          <w:bCs/>
          <w:szCs w:val="21"/>
        </w:rPr>
        <w:t xml:space="preserve"> </w:t>
      </w:r>
      <w:r>
        <w:rPr>
          <w:rFonts w:cs="Times New Roman"/>
          <w:szCs w:val="21"/>
        </w:rPr>
        <w:t>非几何信息 nongeometric information （N）</w:t>
      </w:r>
    </w:p>
    <w:p w14:paraId="05247BBF">
      <w:pPr>
        <w:spacing w:before="156" w:after="156"/>
        <w:ind w:firstLine="480"/>
        <w:rPr>
          <w:rFonts w:cs="Times New Roman"/>
          <w:szCs w:val="21"/>
        </w:rPr>
      </w:pPr>
      <w:r>
        <w:rPr>
          <w:rFonts w:cs="Times New Roman"/>
          <w:szCs w:val="21"/>
        </w:rPr>
        <w:t>非几何信息是指BIM模型中除几何信息之外的所有信息的集合。</w:t>
      </w:r>
    </w:p>
    <w:p w14:paraId="2E4D906E">
      <w:pPr>
        <w:spacing w:before="156" w:after="156"/>
        <w:ind w:firstLine="0" w:firstLineChars="0"/>
        <w:rPr>
          <w:rFonts w:cs="Times New Roman"/>
          <w:b/>
          <w:bCs/>
          <w:szCs w:val="21"/>
        </w:rPr>
      </w:pPr>
      <w:r>
        <w:rPr>
          <w:rFonts w:cs="Times New Roman"/>
          <w:b/>
          <w:bCs/>
          <w:szCs w:val="21"/>
        </w:rPr>
        <w:t>2.</w:t>
      </w:r>
      <w:r>
        <w:rPr>
          <w:rFonts w:hint="eastAsia" w:cs="Times New Roman"/>
          <w:b/>
          <w:bCs/>
          <w:szCs w:val="21"/>
        </w:rPr>
        <w:t>1</w:t>
      </w:r>
      <w:r>
        <w:rPr>
          <w:rFonts w:cs="Times New Roman"/>
          <w:b/>
          <w:bCs/>
          <w:szCs w:val="21"/>
        </w:rPr>
        <w:t>.</w:t>
      </w:r>
      <w:r>
        <w:rPr>
          <w:rFonts w:hint="eastAsia" w:cs="Times New Roman"/>
          <w:b/>
          <w:bCs/>
          <w:szCs w:val="21"/>
          <w:lang w:val="en-US" w:eastAsia="zh-CN"/>
        </w:rPr>
        <w:t>6</w:t>
      </w:r>
      <w:r>
        <w:rPr>
          <w:rFonts w:cs="Times New Roman"/>
          <w:b/>
          <w:bCs/>
          <w:szCs w:val="21"/>
        </w:rPr>
        <w:t xml:space="preserve"> </w:t>
      </w:r>
      <w:r>
        <w:rPr>
          <w:rFonts w:hint="eastAsia" w:cs="Times New Roman"/>
          <w:b/>
          <w:bCs/>
          <w:szCs w:val="21"/>
        </w:rPr>
        <w:t xml:space="preserve"> </w:t>
      </w:r>
      <w:r>
        <w:rPr>
          <w:rFonts w:cs="Times New Roman"/>
          <w:szCs w:val="21"/>
        </w:rPr>
        <w:t>交付物</w:t>
      </w:r>
      <w:r>
        <w:rPr>
          <w:rFonts w:cs="Times New Roman"/>
          <w:b/>
          <w:bCs/>
          <w:szCs w:val="21"/>
        </w:rPr>
        <w:t xml:space="preserve"> </w:t>
      </w:r>
      <w:r>
        <w:rPr>
          <w:rFonts w:cs="Times New Roman"/>
          <w:szCs w:val="21"/>
        </w:rPr>
        <w:t>deliverable</w:t>
      </w:r>
    </w:p>
    <w:p w14:paraId="70AAAA85">
      <w:pPr>
        <w:spacing w:before="156" w:after="156"/>
        <w:ind w:firstLine="480"/>
        <w:rPr>
          <w:rFonts w:cs="Times New Roman"/>
          <w:szCs w:val="21"/>
        </w:rPr>
      </w:pPr>
      <w:r>
        <w:rPr>
          <w:rFonts w:cs="Times New Roman"/>
          <w:szCs w:val="21"/>
        </w:rPr>
        <w:t>基于建筑信息模型交付的成果。</w:t>
      </w:r>
    </w:p>
    <w:p w14:paraId="5E5C92FF">
      <w:pPr>
        <w:spacing w:before="156" w:after="156"/>
        <w:ind w:firstLine="0" w:firstLineChars="0"/>
        <w:rPr>
          <w:rFonts w:cs="Times New Roman"/>
        </w:rPr>
      </w:pPr>
      <w:r>
        <w:rPr>
          <w:rFonts w:cs="Times New Roman"/>
          <w:b/>
        </w:rPr>
        <w:t>2.1.</w:t>
      </w:r>
      <w:r>
        <w:rPr>
          <w:rFonts w:hint="eastAsia" w:cs="Times New Roman"/>
          <w:b/>
          <w:lang w:val="en-US" w:eastAsia="zh-CN"/>
        </w:rPr>
        <w:t>7</w:t>
      </w:r>
      <w:r>
        <w:rPr>
          <w:rFonts w:cs="Times New Roman"/>
          <w:b/>
        </w:rPr>
        <w:t xml:space="preserve">  </w:t>
      </w:r>
      <w:r>
        <w:rPr>
          <w:rFonts w:cs="Times New Roman"/>
        </w:rPr>
        <w:t>基点 position base point</w:t>
      </w:r>
    </w:p>
    <w:p w14:paraId="20802305">
      <w:pPr>
        <w:spacing w:before="156" w:after="156"/>
        <w:ind w:firstLine="480"/>
        <w:rPr>
          <w:rFonts w:cs="Times New Roman"/>
          <w:szCs w:val="21"/>
        </w:rPr>
      </w:pPr>
      <w:r>
        <w:rPr>
          <w:rFonts w:cs="Times New Roman"/>
        </w:rPr>
        <w:t>为了便于布置或安装工程对象而设定的模型单元空间特征点</w:t>
      </w:r>
      <w:r>
        <w:rPr>
          <w:rFonts w:cs="Times New Roman"/>
          <w:szCs w:val="21"/>
        </w:rPr>
        <w:t>。</w:t>
      </w:r>
    </w:p>
    <w:p w14:paraId="6ECC3D3F">
      <w:pPr>
        <w:spacing w:before="156" w:after="156"/>
        <w:ind w:firstLine="0" w:firstLineChars="0"/>
        <w:rPr>
          <w:rFonts w:cs="Times New Roman"/>
        </w:rPr>
      </w:pPr>
      <w:r>
        <w:rPr>
          <w:rFonts w:cs="Times New Roman"/>
          <w:b/>
        </w:rPr>
        <w:t>2.1.</w:t>
      </w:r>
      <w:r>
        <w:rPr>
          <w:rFonts w:hint="eastAsia" w:cs="Times New Roman"/>
          <w:b/>
          <w:lang w:val="en-US" w:eastAsia="zh-CN"/>
        </w:rPr>
        <w:t>8</w:t>
      </w:r>
      <w:r>
        <w:rPr>
          <w:rFonts w:cs="Times New Roman"/>
          <w:b/>
        </w:rPr>
        <w:t xml:space="preserve">  </w:t>
      </w:r>
      <w:r>
        <w:rPr>
          <w:rFonts w:cs="Times New Roman"/>
        </w:rPr>
        <w:t xml:space="preserve">协同 collaboration </w:t>
      </w:r>
    </w:p>
    <w:p w14:paraId="2C569033">
      <w:pPr>
        <w:spacing w:before="156" w:after="156"/>
        <w:ind w:firstLine="480"/>
        <w:rPr>
          <w:rFonts w:cs="Times New Roman"/>
          <w:szCs w:val="21"/>
        </w:rPr>
      </w:pPr>
      <w:r>
        <w:rPr>
          <w:rFonts w:cs="Times New Roman"/>
        </w:rPr>
        <w:t>基于建筑信息模型进行数据共享及相互操作的过程</w:t>
      </w:r>
      <w:r>
        <w:rPr>
          <w:rFonts w:cs="Times New Roman"/>
          <w:szCs w:val="21"/>
        </w:rPr>
        <w:t>。</w:t>
      </w:r>
    </w:p>
    <w:p w14:paraId="0FE6C72D">
      <w:pPr>
        <w:spacing w:before="156" w:after="156"/>
        <w:ind w:firstLine="0" w:firstLineChars="0"/>
        <w:rPr>
          <w:rFonts w:cs="Times New Roman"/>
        </w:rPr>
      </w:pPr>
      <w:r>
        <w:rPr>
          <w:rFonts w:cs="Times New Roman"/>
          <w:b/>
        </w:rPr>
        <w:t>2.1.</w:t>
      </w:r>
      <w:r>
        <w:rPr>
          <w:rFonts w:hint="eastAsia" w:cs="Times New Roman"/>
          <w:b/>
          <w:lang w:val="en-US" w:eastAsia="zh-CN"/>
        </w:rPr>
        <w:t>9</w:t>
      </w:r>
      <w:r>
        <w:rPr>
          <w:rFonts w:cs="Times New Roman"/>
          <w:b/>
        </w:rPr>
        <w:t xml:space="preserve">  </w:t>
      </w:r>
      <w:r>
        <w:rPr>
          <w:rFonts w:cs="Times New Roman"/>
        </w:rPr>
        <w:t xml:space="preserve">归档 archive </w:t>
      </w:r>
    </w:p>
    <w:p w14:paraId="2373CA3D">
      <w:pPr>
        <w:spacing w:before="156" w:after="156"/>
        <w:ind w:firstLine="480"/>
        <w:rPr>
          <w:rFonts w:cs="Times New Roman"/>
          <w:szCs w:val="21"/>
        </w:rPr>
      </w:pPr>
      <w:r>
        <w:rPr>
          <w:rFonts w:cs="Times New Roman"/>
        </w:rPr>
        <w:t>按照一定原则进行信息提取、集合、存档的过程</w:t>
      </w:r>
      <w:r>
        <w:rPr>
          <w:rFonts w:cs="Times New Roman"/>
          <w:szCs w:val="21"/>
        </w:rPr>
        <w:t>。</w:t>
      </w:r>
    </w:p>
    <w:p w14:paraId="2C22452D">
      <w:pPr>
        <w:pStyle w:val="3"/>
        <w:spacing w:before="156" w:after="156"/>
        <w:ind w:firstLine="0" w:firstLineChars="0"/>
        <w:rPr>
          <w:rFonts w:cs="Times New Roman"/>
        </w:rPr>
      </w:pPr>
      <w:bookmarkStart w:id="9" w:name="_Toc19085"/>
      <w:bookmarkStart w:id="10" w:name="_Toc20224"/>
      <w:r>
        <w:rPr>
          <w:rFonts w:cs="Times New Roman"/>
        </w:rPr>
        <w:t xml:space="preserve">2.2 </w:t>
      </w:r>
      <w:bookmarkStart w:id="11" w:name="OLE_LINK2"/>
      <w:r>
        <w:rPr>
          <w:rFonts w:cs="Times New Roman"/>
        </w:rPr>
        <w:t xml:space="preserve"> </w:t>
      </w:r>
      <w:r>
        <w:rPr>
          <w:rFonts w:cs="Times New Roman"/>
          <w:b w:val="0"/>
        </w:rPr>
        <w:t>缩略语</w:t>
      </w:r>
      <w:bookmarkEnd w:id="9"/>
      <w:bookmarkEnd w:id="10"/>
      <w:bookmarkEnd w:id="11"/>
    </w:p>
    <w:p w14:paraId="39C49FF9">
      <w:pPr>
        <w:spacing w:before="156" w:after="156"/>
        <w:ind w:firstLine="480" w:firstLineChars="0"/>
        <w:rPr>
          <w:rFonts w:cs="Times New Roman"/>
          <w:szCs w:val="21"/>
        </w:rPr>
      </w:pPr>
      <w:r>
        <w:rPr>
          <w:rFonts w:cs="Times New Roman"/>
          <w:szCs w:val="21"/>
        </w:rPr>
        <w:t>IFC（</w:t>
      </w:r>
      <w:r>
        <w:rPr>
          <w:rFonts w:hint="eastAsia" w:cs="Times New Roman"/>
          <w:szCs w:val="21"/>
          <w:lang w:val="en-US" w:eastAsia="zh-CN"/>
        </w:rPr>
        <w:t>i</w:t>
      </w:r>
      <w:r>
        <w:rPr>
          <w:rFonts w:cs="Times New Roman"/>
          <w:szCs w:val="21"/>
        </w:rPr>
        <w:t xml:space="preserve">ndustry </w:t>
      </w:r>
      <w:r>
        <w:rPr>
          <w:rFonts w:hint="eastAsia" w:cs="Times New Roman"/>
          <w:szCs w:val="21"/>
          <w:lang w:val="en-US" w:eastAsia="zh-CN"/>
        </w:rPr>
        <w:t>f</w:t>
      </w:r>
      <w:r>
        <w:rPr>
          <w:rFonts w:cs="Times New Roman"/>
          <w:szCs w:val="21"/>
        </w:rPr>
        <w:t xml:space="preserve">oundation </w:t>
      </w:r>
      <w:r>
        <w:rPr>
          <w:rFonts w:hint="eastAsia" w:cs="Times New Roman"/>
          <w:szCs w:val="21"/>
          <w:lang w:val="en-US" w:eastAsia="zh-CN"/>
        </w:rPr>
        <w:t>c</w:t>
      </w:r>
      <w:r>
        <w:rPr>
          <w:rFonts w:cs="Times New Roman"/>
          <w:szCs w:val="21"/>
        </w:rPr>
        <w:t>lasses）工业基础类</w:t>
      </w:r>
    </w:p>
    <w:p w14:paraId="4739D804">
      <w:pPr>
        <w:spacing w:before="156" w:after="156"/>
        <w:ind w:firstLine="480" w:firstLineChars="0"/>
        <w:rPr>
          <w:rFonts w:hint="eastAsia" w:eastAsia="宋体" w:cs="Times New Roman"/>
          <w:szCs w:val="21"/>
          <w:lang w:val="en-US" w:eastAsia="zh-CN"/>
        </w:rPr>
      </w:pPr>
      <w:r>
        <w:rPr>
          <w:rFonts w:cs="Times New Roman"/>
          <w:szCs w:val="21"/>
        </w:rPr>
        <w:t>IP（</w:t>
      </w:r>
      <w:r>
        <w:rPr>
          <w:rFonts w:hint="eastAsia" w:cs="Times New Roman"/>
          <w:szCs w:val="21"/>
          <w:lang w:val="en-US" w:eastAsia="zh-CN"/>
        </w:rPr>
        <w:t>i</w:t>
      </w:r>
      <w:r>
        <w:rPr>
          <w:rFonts w:cs="Times New Roman"/>
          <w:szCs w:val="21"/>
        </w:rPr>
        <w:t xml:space="preserve">nternet </w:t>
      </w:r>
      <w:r>
        <w:rPr>
          <w:rFonts w:hint="eastAsia" w:cs="Times New Roman"/>
          <w:szCs w:val="21"/>
          <w:lang w:val="en-US" w:eastAsia="zh-CN"/>
        </w:rPr>
        <w:t>p</w:t>
      </w:r>
      <w:r>
        <w:rPr>
          <w:rFonts w:cs="Times New Roman"/>
          <w:szCs w:val="21"/>
        </w:rPr>
        <w:t xml:space="preserve">rotocol </w:t>
      </w:r>
      <w:r>
        <w:rPr>
          <w:rFonts w:hint="eastAsia" w:cs="Times New Roman"/>
          <w:szCs w:val="21"/>
          <w:lang w:val="en-US" w:eastAsia="zh-CN"/>
        </w:rPr>
        <w:t>a</w:t>
      </w:r>
      <w:r>
        <w:rPr>
          <w:rFonts w:cs="Times New Roman"/>
          <w:szCs w:val="21"/>
        </w:rPr>
        <w:t>ddress）互联网协议地址</w:t>
      </w:r>
    </w:p>
    <w:p w14:paraId="1120F303">
      <w:pPr>
        <w:spacing w:before="156" w:after="156"/>
        <w:ind w:firstLine="480"/>
        <w:rPr>
          <w:rFonts w:cs="Times New Roman"/>
          <w:szCs w:val="21"/>
        </w:rPr>
      </w:pPr>
      <w:r>
        <w:rPr>
          <w:rFonts w:cs="Times New Roman"/>
          <w:szCs w:val="21"/>
        </w:rPr>
        <w:t>FCP（</w:t>
      </w:r>
      <w:r>
        <w:rPr>
          <w:rFonts w:hint="eastAsia" w:cs="Times New Roman"/>
          <w:szCs w:val="21"/>
          <w:lang w:val="en-US" w:eastAsia="zh-CN"/>
        </w:rPr>
        <w:t>f</w:t>
      </w:r>
      <w:r>
        <w:rPr>
          <w:rFonts w:cs="Times New Roman"/>
          <w:szCs w:val="21"/>
        </w:rPr>
        <w:t xml:space="preserve">ibre </w:t>
      </w:r>
      <w:r>
        <w:rPr>
          <w:rFonts w:hint="eastAsia" w:cs="Times New Roman"/>
          <w:szCs w:val="21"/>
          <w:lang w:val="en-US" w:eastAsia="zh-CN"/>
        </w:rPr>
        <w:t>c</w:t>
      </w:r>
      <w:r>
        <w:rPr>
          <w:rFonts w:cs="Times New Roman"/>
          <w:szCs w:val="21"/>
        </w:rPr>
        <w:t xml:space="preserve">hannel </w:t>
      </w:r>
      <w:r>
        <w:rPr>
          <w:rFonts w:hint="eastAsia" w:cs="Times New Roman"/>
          <w:szCs w:val="21"/>
          <w:lang w:val="en-US" w:eastAsia="zh-CN"/>
        </w:rPr>
        <w:t>p</w:t>
      </w:r>
      <w:r>
        <w:rPr>
          <w:rFonts w:cs="Times New Roman"/>
          <w:szCs w:val="21"/>
        </w:rPr>
        <w:t>rotocol）光纤通道协议（网状信道和网状信道协议）</w:t>
      </w:r>
    </w:p>
    <w:p w14:paraId="38178099">
      <w:pPr>
        <w:spacing w:before="156" w:after="156"/>
        <w:ind w:firstLine="480"/>
        <w:rPr>
          <w:rFonts w:cs="Times New Roman"/>
          <w:szCs w:val="21"/>
        </w:rPr>
      </w:pPr>
      <w:r>
        <w:rPr>
          <w:rFonts w:cs="Times New Roman"/>
          <w:szCs w:val="21"/>
        </w:rPr>
        <w:t>NDMP（network data management protocol）网络数据管理协议</w:t>
      </w:r>
    </w:p>
    <w:p w14:paraId="78AD447F">
      <w:pPr>
        <w:spacing w:before="156" w:after="156"/>
        <w:ind w:firstLine="480"/>
        <w:rPr>
          <w:rFonts w:cs="Times New Roman"/>
          <w:szCs w:val="21"/>
        </w:rPr>
      </w:pPr>
      <w:r>
        <w:rPr>
          <w:rFonts w:cs="Times New Roman"/>
          <w:szCs w:val="21"/>
        </w:rPr>
        <w:br w:type="page"/>
      </w:r>
    </w:p>
    <w:p w14:paraId="2A29B0F4">
      <w:pPr>
        <w:pStyle w:val="2"/>
        <w:spacing w:before="156" w:after="156"/>
        <w:ind w:firstLine="602"/>
        <w:rPr>
          <w:rFonts w:cs="Times New Roman"/>
        </w:rPr>
      </w:pPr>
      <w:bookmarkStart w:id="12" w:name="_Toc11698"/>
      <w:bookmarkStart w:id="13" w:name="_Toc6148"/>
      <w:r>
        <w:rPr>
          <w:rFonts w:cs="Times New Roman"/>
        </w:rPr>
        <w:t xml:space="preserve">3  </w:t>
      </w:r>
      <w:r>
        <w:rPr>
          <w:rFonts w:cs="Times New Roman"/>
          <w:b w:val="0"/>
          <w:bCs w:val="0"/>
        </w:rPr>
        <w:t>基本规定</w:t>
      </w:r>
      <w:bookmarkEnd w:id="12"/>
      <w:bookmarkEnd w:id="13"/>
    </w:p>
    <w:p w14:paraId="1C763B03">
      <w:pPr>
        <w:spacing w:before="156" w:after="156"/>
        <w:ind w:firstLine="0" w:firstLineChars="0"/>
        <w:rPr>
          <w:rFonts w:cs="Times New Roman"/>
        </w:rPr>
      </w:pPr>
      <w:r>
        <w:rPr>
          <w:rFonts w:cs="Times New Roman"/>
          <w:b/>
        </w:rPr>
        <w:t>3.0.1</w:t>
      </w:r>
      <w:r>
        <w:rPr>
          <w:rFonts w:cs="Times New Roman"/>
        </w:rPr>
        <w:t xml:space="preserve">  建筑信息模型数字化</w:t>
      </w:r>
      <w:r>
        <w:rPr>
          <w:rFonts w:hint="eastAsia" w:cs="Times New Roman"/>
          <w:lang w:eastAsia="zh-CN"/>
        </w:rPr>
        <w:t>交付</w:t>
      </w:r>
      <w:r>
        <w:rPr>
          <w:rFonts w:cs="Times New Roman"/>
        </w:rPr>
        <w:t>应保证</w:t>
      </w:r>
      <w:r>
        <w:rPr>
          <w:rFonts w:hint="eastAsia" w:cs="Times New Roman"/>
          <w:lang w:eastAsia="zh-CN"/>
        </w:rPr>
        <w:t>交付</w:t>
      </w:r>
      <w:r>
        <w:rPr>
          <w:rFonts w:hint="eastAsia" w:cs="Times New Roman"/>
          <w:lang w:val="en-US" w:eastAsia="zh-CN"/>
        </w:rPr>
        <w:t>信息</w:t>
      </w:r>
      <w:r>
        <w:rPr>
          <w:rFonts w:cs="Times New Roman"/>
        </w:rPr>
        <w:t>的准确性、完整性和时效性。</w:t>
      </w:r>
    </w:p>
    <w:p w14:paraId="7EC2A8AB">
      <w:pPr>
        <w:spacing w:before="156" w:after="156"/>
        <w:ind w:firstLine="0" w:firstLineChars="0"/>
        <w:rPr>
          <w:rFonts w:cs="Times New Roman"/>
        </w:rPr>
      </w:pPr>
      <w:r>
        <w:rPr>
          <w:rFonts w:cs="Times New Roman"/>
          <w:b/>
        </w:rPr>
        <w:t xml:space="preserve">3.0.2 </w:t>
      </w:r>
      <w:r>
        <w:rPr>
          <w:rFonts w:cs="Times New Roman"/>
        </w:rPr>
        <w:t xml:space="preserve"> 建筑信息模型数字化</w:t>
      </w:r>
      <w:r>
        <w:rPr>
          <w:rFonts w:hint="eastAsia" w:cs="Times New Roman"/>
          <w:lang w:eastAsia="zh-CN"/>
        </w:rPr>
        <w:t>交付</w:t>
      </w:r>
      <w:r>
        <w:rPr>
          <w:rFonts w:hint="eastAsia" w:cs="Times New Roman"/>
        </w:rPr>
        <w:t>宜包括项目</w:t>
      </w:r>
      <w:r>
        <w:rPr>
          <w:rFonts w:cs="Times New Roman"/>
        </w:rPr>
        <w:t>全过程交付和面向应用的交付。</w:t>
      </w:r>
    </w:p>
    <w:p w14:paraId="0CCDAC5F">
      <w:pPr>
        <w:spacing w:before="156" w:after="156"/>
        <w:ind w:firstLine="0" w:firstLineChars="0"/>
        <w:rPr>
          <w:rFonts w:cs="Times New Roman"/>
        </w:rPr>
      </w:pPr>
      <w:r>
        <w:rPr>
          <w:rFonts w:cs="Times New Roman"/>
          <w:b/>
        </w:rPr>
        <w:t>3.0.3</w:t>
      </w:r>
      <w:r>
        <w:rPr>
          <w:rFonts w:cs="Times New Roman"/>
        </w:rPr>
        <w:t xml:space="preserve">  面向应用的交付宜包括项目全生命周期内的应用，建筑信息模型的</w:t>
      </w:r>
      <w:r>
        <w:rPr>
          <w:rFonts w:hint="eastAsia" w:cs="Times New Roman"/>
          <w:lang w:val="en-US" w:eastAsia="zh-CN"/>
        </w:rPr>
        <w:t>数字化交付内容</w:t>
      </w:r>
      <w:r>
        <w:rPr>
          <w:rFonts w:cs="Times New Roman"/>
        </w:rPr>
        <w:t>、</w:t>
      </w:r>
      <w:r>
        <w:rPr>
          <w:rFonts w:hint="eastAsia" w:cs="Times New Roman"/>
          <w:lang w:val="en-US" w:eastAsia="zh-CN"/>
        </w:rPr>
        <w:t>成果归档</w:t>
      </w:r>
      <w:r>
        <w:rPr>
          <w:rFonts w:cs="Times New Roman"/>
        </w:rPr>
        <w:t>和</w:t>
      </w:r>
      <w:r>
        <w:rPr>
          <w:rFonts w:hint="eastAsia" w:cs="Times New Roman"/>
          <w:lang w:eastAsia="zh-CN"/>
        </w:rPr>
        <w:t>交付</w:t>
      </w:r>
      <w:r>
        <w:rPr>
          <w:rFonts w:hint="eastAsia" w:cs="Times New Roman"/>
          <w:lang w:val="en-US" w:eastAsia="zh-CN"/>
        </w:rPr>
        <w:t>要求</w:t>
      </w:r>
      <w:r>
        <w:rPr>
          <w:rFonts w:cs="Times New Roman"/>
        </w:rPr>
        <w:t>应满足</w:t>
      </w:r>
      <w:r>
        <w:rPr>
          <w:rFonts w:hint="eastAsia" w:cs="Times New Roman"/>
        </w:rPr>
        <w:t>各</w:t>
      </w:r>
      <w:r>
        <w:rPr>
          <w:rFonts w:hint="eastAsia" w:cs="Times New Roman"/>
          <w:lang w:val="en-US" w:eastAsia="zh-CN"/>
        </w:rPr>
        <w:t>阶段</w:t>
      </w:r>
      <w:r>
        <w:rPr>
          <w:rFonts w:cs="Times New Roman"/>
        </w:rPr>
        <w:t>应用需求。</w:t>
      </w:r>
    </w:p>
    <w:p w14:paraId="495A82EA">
      <w:pPr>
        <w:spacing w:before="156" w:after="156"/>
        <w:ind w:firstLine="0" w:firstLineChars="0"/>
        <w:rPr>
          <w:rFonts w:cs="Times New Roman"/>
        </w:rPr>
      </w:pPr>
      <w:r>
        <w:rPr>
          <w:rFonts w:cs="Times New Roman"/>
          <w:b/>
        </w:rPr>
        <w:t xml:space="preserve">3.0.4 </w:t>
      </w:r>
      <w:r>
        <w:rPr>
          <w:rFonts w:cs="Times New Roman"/>
        </w:rPr>
        <w:t xml:space="preserve"> 房屋建筑工程</w:t>
      </w:r>
      <w:r>
        <w:rPr>
          <w:rFonts w:hint="eastAsia" w:cs="Times New Roman"/>
        </w:rPr>
        <w:t>项目</w:t>
      </w:r>
      <w:r>
        <w:rPr>
          <w:rFonts w:cs="Times New Roman"/>
        </w:rPr>
        <w:t>模型</w:t>
      </w:r>
      <w:r>
        <w:rPr>
          <w:rFonts w:hint="eastAsia" w:cs="Times New Roman"/>
        </w:rPr>
        <w:t>宜</w:t>
      </w:r>
      <w:r>
        <w:rPr>
          <w:rFonts w:cs="Times New Roman"/>
        </w:rPr>
        <w:t>以通用IFC格式和源模型文件实现持久化存储及交换。</w:t>
      </w:r>
    </w:p>
    <w:p w14:paraId="305D3302">
      <w:pPr>
        <w:spacing w:before="156" w:after="156"/>
        <w:ind w:firstLine="0" w:firstLineChars="0"/>
        <w:rPr>
          <w:rFonts w:cs="Times New Roman"/>
        </w:rPr>
      </w:pPr>
      <w:r>
        <w:rPr>
          <w:rFonts w:cs="Times New Roman"/>
          <w:b/>
        </w:rPr>
        <w:t xml:space="preserve">3.0.5 </w:t>
      </w:r>
      <w:r>
        <w:rPr>
          <w:rFonts w:cs="Times New Roman"/>
        </w:rPr>
        <w:t xml:space="preserve"> 建设工程项目模型坐标系应</w:t>
      </w:r>
      <w:r>
        <w:rPr>
          <w:rFonts w:hint="eastAsia" w:cs="Times New Roman"/>
        </w:rPr>
        <w:t>统一</w:t>
      </w:r>
      <w:r>
        <w:rPr>
          <w:rFonts w:cs="Times New Roman"/>
        </w:rPr>
        <w:t>采用2000国家大地坐标系</w:t>
      </w:r>
      <w:r>
        <w:rPr>
          <w:rFonts w:hint="eastAsia" w:cs="Times New Roman"/>
        </w:rPr>
        <w:t>，</w:t>
      </w:r>
      <w:r>
        <w:rPr>
          <w:rFonts w:cs="Times New Roman"/>
        </w:rPr>
        <w:t>高程应统一采用1985国家高程基准。</w:t>
      </w:r>
    </w:p>
    <w:p w14:paraId="027AB211">
      <w:pPr>
        <w:spacing w:before="156" w:after="156"/>
        <w:ind w:firstLine="0" w:firstLineChars="0"/>
        <w:rPr>
          <w:rFonts w:cs="Times New Roman"/>
        </w:rPr>
      </w:pPr>
      <w:r>
        <w:rPr>
          <w:rFonts w:cs="Times New Roman"/>
        </w:rPr>
        <w:br w:type="page"/>
      </w:r>
    </w:p>
    <w:p w14:paraId="380DDD97">
      <w:pPr>
        <w:pStyle w:val="2"/>
        <w:spacing w:before="156" w:after="156"/>
        <w:ind w:firstLine="602"/>
        <w:rPr>
          <w:rFonts w:hint="default" w:eastAsia="宋体" w:cs="Times New Roman"/>
          <w:lang w:val="en-US" w:eastAsia="zh-CN"/>
        </w:rPr>
      </w:pPr>
      <w:bookmarkStart w:id="14" w:name="_Toc2071"/>
      <w:bookmarkStart w:id="15" w:name="_Toc20830"/>
      <w:r>
        <w:rPr>
          <w:rFonts w:cs="Times New Roman"/>
        </w:rPr>
        <w:t xml:space="preserve">4  </w:t>
      </w:r>
      <w:bookmarkEnd w:id="14"/>
      <w:r>
        <w:rPr>
          <w:rFonts w:hint="eastAsia" w:cs="Times New Roman"/>
          <w:b w:val="0"/>
          <w:bCs w:val="0"/>
          <w:lang w:val="en-US" w:eastAsia="zh-CN"/>
        </w:rPr>
        <w:t>交付内容</w:t>
      </w:r>
      <w:bookmarkEnd w:id="15"/>
    </w:p>
    <w:p w14:paraId="06FAB22B">
      <w:pPr>
        <w:pStyle w:val="3"/>
        <w:spacing w:before="156" w:after="156"/>
        <w:ind w:firstLine="482"/>
        <w:rPr>
          <w:rFonts w:cs="Times New Roman"/>
        </w:rPr>
      </w:pPr>
      <w:bookmarkStart w:id="16" w:name="_Toc14377"/>
      <w:bookmarkStart w:id="17" w:name="_Toc25412"/>
      <w:r>
        <w:rPr>
          <w:rFonts w:cs="Times New Roman"/>
        </w:rPr>
        <w:t xml:space="preserve">4.1  </w:t>
      </w:r>
      <w:r>
        <w:rPr>
          <w:rFonts w:cs="Times New Roman"/>
          <w:b w:val="0"/>
          <w:bCs w:val="0"/>
        </w:rPr>
        <w:t>一般规定</w:t>
      </w:r>
      <w:bookmarkEnd w:id="16"/>
      <w:bookmarkEnd w:id="17"/>
    </w:p>
    <w:p w14:paraId="5A91CA9A">
      <w:pPr>
        <w:spacing w:before="156" w:after="156"/>
        <w:ind w:firstLine="0" w:firstLineChars="0"/>
        <w:rPr>
          <w:rFonts w:cs="Times New Roman"/>
        </w:rPr>
      </w:pPr>
      <w:r>
        <w:rPr>
          <w:rFonts w:cs="Times New Roman"/>
          <w:b/>
        </w:rPr>
        <w:t>4.1.1</w:t>
      </w:r>
      <w:r>
        <w:rPr>
          <w:rFonts w:cs="Times New Roman"/>
        </w:rPr>
        <w:t xml:space="preserve">  模型创建、使用</w:t>
      </w:r>
      <w:r>
        <w:rPr>
          <w:rFonts w:hint="eastAsia" w:cs="Times New Roman"/>
          <w:lang w:eastAsia="zh-CN"/>
        </w:rPr>
        <w:t>、</w:t>
      </w:r>
      <w:r>
        <w:rPr>
          <w:rFonts w:cs="Times New Roman"/>
        </w:rPr>
        <w:t>管理和</w:t>
      </w:r>
      <w:r>
        <w:rPr>
          <w:rFonts w:hint="eastAsia" w:cs="Times New Roman"/>
          <w:lang w:val="en-US" w:eastAsia="zh-CN"/>
        </w:rPr>
        <w:t>交付</w:t>
      </w:r>
      <w:r>
        <w:rPr>
          <w:rFonts w:cs="Times New Roman"/>
        </w:rPr>
        <w:t>过程中，应采取措施保证</w:t>
      </w:r>
      <w:r>
        <w:rPr>
          <w:rFonts w:hint="eastAsia" w:cs="Times New Roman"/>
          <w:lang w:val="en-US" w:eastAsia="zh-CN"/>
        </w:rPr>
        <w:t>模型</w:t>
      </w:r>
      <w:r>
        <w:rPr>
          <w:rFonts w:cs="Times New Roman"/>
        </w:rPr>
        <w:t>的准确性、安全性、完整性和有效性。</w:t>
      </w:r>
    </w:p>
    <w:p w14:paraId="26164B84">
      <w:pPr>
        <w:spacing w:before="156" w:after="156"/>
        <w:ind w:firstLine="0" w:firstLineChars="0"/>
        <w:rPr>
          <w:rFonts w:cs="Times New Roman"/>
        </w:rPr>
      </w:pPr>
      <w:r>
        <w:rPr>
          <w:rFonts w:cs="Times New Roman"/>
          <w:b/>
        </w:rPr>
        <w:t>4.1.2</w:t>
      </w:r>
      <w:r>
        <w:rPr>
          <w:rFonts w:cs="Times New Roman"/>
        </w:rPr>
        <w:t xml:space="preserve">  各专业模型应实现信息传递和共享，模型</w:t>
      </w:r>
      <w:r>
        <w:rPr>
          <w:rFonts w:hint="eastAsia" w:cs="Times New Roman"/>
          <w:lang w:val="en-US" w:eastAsia="zh-CN"/>
        </w:rPr>
        <w:t>信息</w:t>
      </w:r>
      <w:r>
        <w:rPr>
          <w:rFonts w:cs="Times New Roman"/>
        </w:rPr>
        <w:t>的提取和交换应满足开放性要求，信息交换的内容和格式应符合本导则的规定。</w:t>
      </w:r>
    </w:p>
    <w:p w14:paraId="405BCB10">
      <w:pPr>
        <w:spacing w:before="156" w:after="156"/>
        <w:ind w:firstLine="0" w:firstLineChars="0"/>
        <w:rPr>
          <w:rFonts w:cs="Times New Roman"/>
        </w:rPr>
      </w:pPr>
      <w:r>
        <w:rPr>
          <w:rFonts w:cs="Times New Roman"/>
          <w:b/>
        </w:rPr>
        <w:t>4.1.3</w:t>
      </w:r>
      <w:r>
        <w:rPr>
          <w:rFonts w:cs="Times New Roman"/>
        </w:rPr>
        <w:t xml:space="preserve">  采用不同方式表达的模型应具有一致性，</w:t>
      </w:r>
      <w:r>
        <w:rPr>
          <w:rFonts w:hint="eastAsia" w:cs="Times New Roman"/>
          <w:lang w:val="en-US" w:eastAsia="zh-CN"/>
        </w:rPr>
        <w:t>几何信息</w:t>
      </w:r>
      <w:r>
        <w:rPr>
          <w:rFonts w:cs="Times New Roman"/>
        </w:rPr>
        <w:t>与非</w:t>
      </w:r>
      <w:r>
        <w:rPr>
          <w:rFonts w:hint="eastAsia" w:cs="Times New Roman"/>
          <w:lang w:val="en-US" w:eastAsia="zh-CN"/>
        </w:rPr>
        <w:t>几何信息</w:t>
      </w:r>
      <w:r>
        <w:rPr>
          <w:rFonts w:cs="Times New Roman"/>
        </w:rPr>
        <w:t>之间应具</w:t>
      </w:r>
      <w:r>
        <w:rPr>
          <w:rFonts w:hint="eastAsia" w:cs="Times New Roman"/>
        </w:rPr>
        <w:t>有</w:t>
      </w:r>
      <w:r>
        <w:rPr>
          <w:rFonts w:cs="Times New Roman"/>
        </w:rPr>
        <w:t>关联关系。</w:t>
      </w:r>
    </w:p>
    <w:p w14:paraId="1C8A02ED">
      <w:pPr>
        <w:pStyle w:val="3"/>
        <w:spacing w:before="156" w:after="156"/>
        <w:ind w:firstLine="482"/>
        <w:rPr>
          <w:rFonts w:hint="default" w:eastAsia="黑体" w:cs="Times New Roman"/>
          <w:lang w:val="en-US" w:eastAsia="zh-CN"/>
        </w:rPr>
      </w:pPr>
      <w:bookmarkStart w:id="18" w:name="_Toc1418"/>
      <w:bookmarkStart w:id="19" w:name="_Toc16958"/>
      <w:r>
        <w:rPr>
          <w:rFonts w:cs="Times New Roman"/>
        </w:rPr>
        <w:t>4.</w:t>
      </w:r>
      <w:r>
        <w:rPr>
          <w:rFonts w:hint="eastAsia" w:cs="Times New Roman"/>
        </w:rPr>
        <w:t>2</w:t>
      </w:r>
      <w:r>
        <w:rPr>
          <w:rFonts w:cs="Times New Roman"/>
        </w:rPr>
        <w:t xml:space="preserve">  </w:t>
      </w:r>
      <w:r>
        <w:rPr>
          <w:rFonts w:cs="Times New Roman"/>
          <w:b w:val="0"/>
          <w:bCs w:val="0"/>
        </w:rPr>
        <w:t>勘察阶段</w:t>
      </w:r>
      <w:bookmarkEnd w:id="18"/>
      <w:r>
        <w:rPr>
          <w:rFonts w:hint="eastAsia" w:cs="Times New Roman"/>
          <w:b w:val="0"/>
          <w:bCs w:val="0"/>
          <w:lang w:val="en-US" w:eastAsia="zh-CN"/>
        </w:rPr>
        <w:t>交付内容</w:t>
      </w:r>
      <w:bookmarkEnd w:id="19"/>
    </w:p>
    <w:p w14:paraId="759EF6F7">
      <w:pPr>
        <w:spacing w:before="156" w:after="156"/>
        <w:ind w:firstLine="0" w:firstLineChars="0"/>
        <w:rPr>
          <w:rFonts w:cs="Times New Roman"/>
        </w:rPr>
      </w:pPr>
      <w:r>
        <w:rPr>
          <w:rFonts w:cs="Times New Roman"/>
          <w:b/>
        </w:rPr>
        <w:t>4.</w:t>
      </w:r>
      <w:r>
        <w:rPr>
          <w:rFonts w:hint="eastAsia" w:cs="Times New Roman"/>
          <w:b/>
        </w:rPr>
        <w:t>2</w:t>
      </w:r>
      <w:r>
        <w:rPr>
          <w:rFonts w:cs="Times New Roman"/>
          <w:b/>
        </w:rPr>
        <w:t>.1</w:t>
      </w:r>
      <w:r>
        <w:rPr>
          <w:rFonts w:cs="Times New Roman"/>
        </w:rPr>
        <w:t xml:space="preserve">  勘察阶段</w:t>
      </w:r>
      <w:r>
        <w:rPr>
          <w:rFonts w:hint="eastAsia" w:cs="Times New Roman"/>
          <w:lang w:val="en-US" w:eastAsia="zh-CN"/>
        </w:rPr>
        <w:t>交付内容</w:t>
      </w:r>
      <w:r>
        <w:rPr>
          <w:rFonts w:cs="Times New Roman"/>
        </w:rPr>
        <w:t>应包含勘察模型</w:t>
      </w:r>
      <w:r>
        <w:rPr>
          <w:rFonts w:hint="eastAsia" w:cs="Times New Roman"/>
          <w:lang w:val="en-US" w:eastAsia="zh-CN"/>
        </w:rPr>
        <w:t>信息</w:t>
      </w:r>
      <w:r>
        <w:rPr>
          <w:rFonts w:cs="Times New Roman"/>
        </w:rPr>
        <w:t>和</w:t>
      </w:r>
      <w:r>
        <w:rPr>
          <w:rFonts w:hint="eastAsia" w:cs="Times New Roman"/>
          <w:lang w:val="en-US" w:eastAsia="zh-CN"/>
        </w:rPr>
        <w:t>勘察应用</w:t>
      </w:r>
      <w:r>
        <w:rPr>
          <w:rFonts w:cs="Times New Roman"/>
        </w:rPr>
        <w:t>管理</w:t>
      </w:r>
      <w:r>
        <w:rPr>
          <w:rFonts w:hint="eastAsia" w:cs="Times New Roman"/>
          <w:lang w:val="en-US" w:eastAsia="zh-CN"/>
        </w:rPr>
        <w:t>等相关非模型信息</w:t>
      </w:r>
      <w:r>
        <w:rPr>
          <w:rFonts w:cs="Times New Roman"/>
        </w:rPr>
        <w:t>，</w:t>
      </w:r>
      <w:r>
        <w:rPr>
          <w:rFonts w:hint="eastAsia" w:cs="Times New Roman"/>
          <w:lang w:val="en-US" w:eastAsia="zh-CN"/>
        </w:rPr>
        <w:t>并</w:t>
      </w:r>
      <w:r>
        <w:rPr>
          <w:rFonts w:cs="Times New Roman"/>
        </w:rPr>
        <w:t>应满足该阶段成果交付的要求。</w:t>
      </w:r>
    </w:p>
    <w:p w14:paraId="6E755CC3">
      <w:pPr>
        <w:spacing w:before="156" w:after="156"/>
        <w:ind w:firstLine="0" w:firstLineChars="0"/>
        <w:rPr>
          <w:rFonts w:cs="Times New Roman"/>
        </w:rPr>
      </w:pPr>
      <w:r>
        <w:rPr>
          <w:rFonts w:cs="Times New Roman"/>
          <w:b/>
        </w:rPr>
        <w:t>4.</w:t>
      </w:r>
      <w:r>
        <w:rPr>
          <w:rFonts w:hint="eastAsia" w:cs="Times New Roman"/>
          <w:b/>
        </w:rPr>
        <w:t>2</w:t>
      </w:r>
      <w:r>
        <w:rPr>
          <w:rFonts w:cs="Times New Roman"/>
          <w:b/>
        </w:rPr>
        <w:t xml:space="preserve">.2  </w:t>
      </w:r>
      <w:r>
        <w:rPr>
          <w:rFonts w:cs="Times New Roman"/>
        </w:rPr>
        <w:t>根据</w:t>
      </w:r>
      <w:r>
        <w:rPr>
          <w:rFonts w:hint="eastAsia" w:cs="Times New Roman"/>
          <w:lang w:val="en-US" w:eastAsia="zh-CN"/>
        </w:rPr>
        <w:t>勘察阶段交付内容类型不同</w:t>
      </w:r>
      <w:r>
        <w:rPr>
          <w:rFonts w:cs="Times New Roman"/>
        </w:rPr>
        <w:t>，划分该阶段</w:t>
      </w:r>
      <w:r>
        <w:rPr>
          <w:rFonts w:hint="eastAsia" w:cs="Times New Roman"/>
          <w:lang w:val="en-US" w:eastAsia="zh-CN"/>
        </w:rPr>
        <w:t>交付内容</w:t>
      </w:r>
      <w:r>
        <w:rPr>
          <w:rFonts w:cs="Times New Roman"/>
        </w:rPr>
        <w:t>为模型构件信息、勘察应用成果信息和其他信息。</w:t>
      </w:r>
    </w:p>
    <w:p w14:paraId="27748892">
      <w:pPr>
        <w:spacing w:before="156" w:after="156"/>
        <w:ind w:firstLine="0" w:firstLineChars="0"/>
        <w:jc w:val="left"/>
        <w:rPr>
          <w:rFonts w:cs="Times New Roman"/>
        </w:rPr>
      </w:pPr>
      <w:r>
        <w:rPr>
          <w:rFonts w:hint="eastAsia" w:cs="Times New Roman"/>
        </w:rPr>
        <w:drawing>
          <wp:anchor distT="0" distB="0" distL="114300" distR="114300" simplePos="0" relativeHeight="251659264" behindDoc="0" locked="0" layoutInCell="1" allowOverlap="1">
            <wp:simplePos x="0" y="0"/>
            <wp:positionH relativeFrom="column">
              <wp:posOffset>40640</wp:posOffset>
            </wp:positionH>
            <wp:positionV relativeFrom="paragraph">
              <wp:posOffset>95885</wp:posOffset>
            </wp:positionV>
            <wp:extent cx="5393055" cy="3791585"/>
            <wp:effectExtent l="0" t="0" r="0" b="0"/>
            <wp:wrapNone/>
            <wp:docPr id="9" name="图片 9" descr="E:/360MoveData/Users/1/Desktop/勘察.png勘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360MoveData/Users/1/Desktop/勘察.png勘察"/>
                    <pic:cNvPicPr>
                      <a:picLocks noChangeAspect="1"/>
                    </pic:cNvPicPr>
                  </pic:nvPicPr>
                  <pic:blipFill>
                    <a:blip r:embed="rId13"/>
                    <a:srcRect t="860" b="860"/>
                    <a:stretch>
                      <a:fillRect/>
                    </a:stretch>
                  </pic:blipFill>
                  <pic:spPr>
                    <a:xfrm>
                      <a:off x="0" y="0"/>
                      <a:ext cx="5393055" cy="3791585"/>
                    </a:xfrm>
                    <a:prstGeom prst="rect">
                      <a:avLst/>
                    </a:prstGeom>
                  </pic:spPr>
                </pic:pic>
              </a:graphicData>
            </a:graphic>
          </wp:anchor>
        </w:drawing>
      </w:r>
      <w:r>
        <w:rPr>
          <w:rFonts w:cs="Times New Roman"/>
          <w:b/>
        </w:rPr>
        <w:t>4.</w:t>
      </w:r>
      <w:r>
        <w:rPr>
          <w:rFonts w:hint="eastAsia" w:cs="Times New Roman"/>
          <w:b/>
        </w:rPr>
        <w:t>2</w:t>
      </w:r>
      <w:r>
        <w:rPr>
          <w:rFonts w:cs="Times New Roman"/>
          <w:b/>
        </w:rPr>
        <w:t>.3</w:t>
      </w:r>
      <w:r>
        <w:rPr>
          <w:rFonts w:cs="Times New Roman"/>
        </w:rPr>
        <w:t xml:space="preserve">  勘察阶段</w:t>
      </w:r>
      <w:r>
        <w:rPr>
          <w:rFonts w:hint="eastAsia" w:cs="Times New Roman"/>
          <w:lang w:val="en-US" w:eastAsia="zh-CN"/>
        </w:rPr>
        <w:t>交付内容</w:t>
      </w:r>
      <w:r>
        <w:rPr>
          <w:rFonts w:cs="Times New Roman"/>
        </w:rPr>
        <w:t>组成</w:t>
      </w:r>
      <w:r>
        <w:rPr>
          <w:rFonts w:hint="eastAsia" w:cs="Times New Roman"/>
        </w:rPr>
        <w:t>宜</w:t>
      </w:r>
      <w:r>
        <w:rPr>
          <w:rFonts w:cs="Times New Roman"/>
        </w:rPr>
        <w:t>满足</w:t>
      </w:r>
      <w:r>
        <w:rPr>
          <w:rFonts w:hint="eastAsia" w:cs="Times New Roman"/>
        </w:rPr>
        <w:t>图</w:t>
      </w:r>
      <w:r>
        <w:rPr>
          <w:rFonts w:cs="Times New Roman"/>
          <w:bCs/>
        </w:rPr>
        <w:t>4.</w:t>
      </w:r>
      <w:r>
        <w:rPr>
          <w:rFonts w:hint="eastAsia" w:cs="Times New Roman"/>
          <w:bCs/>
        </w:rPr>
        <w:t>2</w:t>
      </w:r>
      <w:r>
        <w:rPr>
          <w:rFonts w:cs="Times New Roman"/>
          <w:bCs/>
        </w:rPr>
        <w:t>.3</w:t>
      </w:r>
      <w:r>
        <w:rPr>
          <w:rFonts w:cs="Times New Roman"/>
        </w:rPr>
        <w:t>所示要求。</w:t>
      </w:r>
    </w:p>
    <w:p w14:paraId="3CA819E3">
      <w:pPr>
        <w:spacing w:before="156" w:after="156"/>
        <w:ind w:firstLine="0" w:firstLineChars="0"/>
        <w:jc w:val="left"/>
        <w:rPr>
          <w:rFonts w:cs="Times New Roman"/>
        </w:rPr>
      </w:pPr>
    </w:p>
    <w:p w14:paraId="17F5F2EF">
      <w:pPr>
        <w:spacing w:before="156" w:after="156"/>
        <w:ind w:firstLine="0" w:firstLineChars="0"/>
        <w:jc w:val="left"/>
        <w:rPr>
          <w:rFonts w:cs="Times New Roman"/>
        </w:rPr>
      </w:pPr>
    </w:p>
    <w:p w14:paraId="517569A7">
      <w:pPr>
        <w:spacing w:before="156" w:after="156"/>
        <w:ind w:firstLine="0" w:firstLineChars="0"/>
        <w:jc w:val="left"/>
        <w:rPr>
          <w:rFonts w:cs="Times New Roman"/>
        </w:rPr>
      </w:pPr>
    </w:p>
    <w:p w14:paraId="206319AA">
      <w:pPr>
        <w:spacing w:before="156" w:after="156"/>
        <w:ind w:firstLine="0" w:firstLineChars="0"/>
        <w:jc w:val="left"/>
        <w:rPr>
          <w:rFonts w:cs="Times New Roman"/>
        </w:rPr>
      </w:pPr>
    </w:p>
    <w:p w14:paraId="14DC5B1D">
      <w:pPr>
        <w:spacing w:before="156" w:after="156"/>
        <w:ind w:firstLine="0" w:firstLineChars="0"/>
        <w:jc w:val="left"/>
        <w:rPr>
          <w:rFonts w:cs="Times New Roman"/>
        </w:rPr>
      </w:pPr>
    </w:p>
    <w:p w14:paraId="64A01E88">
      <w:pPr>
        <w:spacing w:before="156" w:after="156"/>
        <w:ind w:firstLine="0" w:firstLineChars="0"/>
        <w:jc w:val="left"/>
        <w:rPr>
          <w:rFonts w:cs="Times New Roman"/>
        </w:rPr>
      </w:pPr>
    </w:p>
    <w:p w14:paraId="6DC02DAE">
      <w:pPr>
        <w:spacing w:before="156" w:after="156"/>
        <w:ind w:firstLine="0" w:firstLineChars="0"/>
        <w:jc w:val="left"/>
        <w:rPr>
          <w:rFonts w:cs="Times New Roman"/>
        </w:rPr>
      </w:pPr>
    </w:p>
    <w:p w14:paraId="00A56A18">
      <w:pPr>
        <w:spacing w:before="156" w:after="156"/>
        <w:ind w:firstLine="0" w:firstLineChars="0"/>
        <w:rPr>
          <w:rFonts w:cs="Times New Roman"/>
        </w:rPr>
      </w:pPr>
    </w:p>
    <w:p w14:paraId="64E3D430">
      <w:pPr>
        <w:spacing w:before="156" w:after="156"/>
        <w:ind w:firstLine="420"/>
        <w:rPr>
          <w:rFonts w:cs="Times New Roman"/>
          <w:b/>
          <w:sz w:val="21"/>
          <w:szCs w:val="21"/>
        </w:rPr>
      </w:pPr>
      <w:r>
        <w:rPr>
          <w:sz w:val="21"/>
        </w:rPr>
        <mc:AlternateContent>
          <mc:Choice Requires="wps">
            <w:drawing>
              <wp:anchor distT="0" distB="0" distL="114300" distR="114300" simplePos="0" relativeHeight="251660288" behindDoc="0" locked="0" layoutInCell="1" allowOverlap="1">
                <wp:simplePos x="0" y="0"/>
                <wp:positionH relativeFrom="column">
                  <wp:posOffset>10160</wp:posOffset>
                </wp:positionH>
                <wp:positionV relativeFrom="paragraph">
                  <wp:posOffset>635</wp:posOffset>
                </wp:positionV>
                <wp:extent cx="5268595" cy="489585"/>
                <wp:effectExtent l="0" t="0" r="0" b="0"/>
                <wp:wrapNone/>
                <wp:docPr id="1" name="文本框 1"/>
                <wp:cNvGraphicFramePr/>
                <a:graphic xmlns:a="http://schemas.openxmlformats.org/drawingml/2006/main">
                  <a:graphicData uri="http://schemas.microsoft.com/office/word/2010/wordprocessingShape">
                    <wps:wsp>
                      <wps:cNvSpPr txBox="1"/>
                      <wps:spPr>
                        <a:xfrm>
                          <a:off x="5723890" y="9459595"/>
                          <a:ext cx="5268595" cy="4895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AE022">
                            <w:pPr>
                              <w:spacing w:before="156" w:after="156"/>
                              <w:ind w:firstLine="422"/>
                              <w:jc w:val="center"/>
                              <w:rPr>
                                <w:rFonts w:hint="default" w:eastAsia="宋体"/>
                                <w:lang w:val="en-US" w:eastAsia="zh-CN"/>
                              </w:rPr>
                            </w:pPr>
                            <w:r>
                              <w:rPr>
                                <w:rFonts w:hint="eastAsia" w:cs="Times New Roman"/>
                                <w:b/>
                                <w:sz w:val="21"/>
                                <w:szCs w:val="21"/>
                              </w:rPr>
                              <w:t>图</w:t>
                            </w:r>
                            <w:r>
                              <w:rPr>
                                <w:rFonts w:cs="Times New Roman"/>
                                <w:b/>
                                <w:sz w:val="21"/>
                                <w:szCs w:val="21"/>
                              </w:rPr>
                              <w:t>4.</w:t>
                            </w:r>
                            <w:r>
                              <w:rPr>
                                <w:rFonts w:hint="eastAsia" w:cs="Times New Roman"/>
                                <w:b/>
                                <w:sz w:val="21"/>
                                <w:szCs w:val="21"/>
                              </w:rPr>
                              <w:t>2</w:t>
                            </w:r>
                            <w:r>
                              <w:rPr>
                                <w:rFonts w:cs="Times New Roman"/>
                                <w:b/>
                                <w:sz w:val="21"/>
                                <w:szCs w:val="21"/>
                              </w:rPr>
                              <w:t>.3 勘察</w:t>
                            </w:r>
                            <w:r>
                              <w:rPr>
                                <w:rFonts w:hint="eastAsia" w:cs="Times New Roman"/>
                                <w:b/>
                                <w:sz w:val="21"/>
                                <w:szCs w:val="21"/>
                              </w:rPr>
                              <w:t>阶段</w:t>
                            </w:r>
                            <w:r>
                              <w:rPr>
                                <w:rFonts w:hint="eastAsia" w:cs="Times New Roman"/>
                                <w:b/>
                                <w:sz w:val="21"/>
                                <w:szCs w:val="21"/>
                                <w:lang w:val="en-US" w:eastAsia="zh-CN"/>
                              </w:rPr>
                              <w:t>交付内容组成</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8pt;margin-top:0.05pt;height:38.55pt;width:414.85pt;z-index:251660288;mso-width-relative:page;mso-height-relative:page;" filled="f" stroked="f" coordsize="21600,21600" o:gfxdata="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LG5cLVAAAABQEAAA8AAAAAAAAAAQAgAAAAIgAA&#10;AGRycy9kb3ducmV2LnhtbFBLAQIUABQAAAAIAIdO4kD5emHtRAIAAHIEAAAOAAAAAAAAAAEAIAAA&#10;ACQBAABkcnMvZTJvRG9jLnhtbFBLBQYAAAAABgAGAFkBAADaBQAAAAA=&#10;">
                <v:fill on="f" focussize="0,0"/>
                <v:stroke on="f" weight="0.5pt"/>
                <v:imagedata o:title=""/>
                <o:lock v:ext="edit" aspectratio="f"/>
                <v:textbox>
                  <w:txbxContent>
                    <w:p w14:paraId="1B0AE022">
                      <w:pPr>
                        <w:spacing w:before="156" w:after="156"/>
                        <w:ind w:firstLine="422"/>
                        <w:jc w:val="center"/>
                        <w:rPr>
                          <w:rFonts w:hint="default" w:eastAsia="宋体"/>
                          <w:lang w:val="en-US" w:eastAsia="zh-CN"/>
                        </w:rPr>
                      </w:pPr>
                      <w:r>
                        <w:rPr>
                          <w:rFonts w:hint="eastAsia" w:cs="Times New Roman"/>
                          <w:b/>
                          <w:sz w:val="21"/>
                          <w:szCs w:val="21"/>
                        </w:rPr>
                        <w:t>图</w:t>
                      </w:r>
                      <w:r>
                        <w:rPr>
                          <w:rFonts w:cs="Times New Roman"/>
                          <w:b/>
                          <w:sz w:val="21"/>
                          <w:szCs w:val="21"/>
                        </w:rPr>
                        <w:t>4.</w:t>
                      </w:r>
                      <w:r>
                        <w:rPr>
                          <w:rFonts w:hint="eastAsia" w:cs="Times New Roman"/>
                          <w:b/>
                          <w:sz w:val="21"/>
                          <w:szCs w:val="21"/>
                        </w:rPr>
                        <w:t>2</w:t>
                      </w:r>
                      <w:r>
                        <w:rPr>
                          <w:rFonts w:cs="Times New Roman"/>
                          <w:b/>
                          <w:sz w:val="21"/>
                          <w:szCs w:val="21"/>
                        </w:rPr>
                        <w:t>.3 勘察</w:t>
                      </w:r>
                      <w:r>
                        <w:rPr>
                          <w:rFonts w:hint="eastAsia" w:cs="Times New Roman"/>
                          <w:b/>
                          <w:sz w:val="21"/>
                          <w:szCs w:val="21"/>
                        </w:rPr>
                        <w:t>阶段</w:t>
                      </w:r>
                      <w:r>
                        <w:rPr>
                          <w:rFonts w:hint="eastAsia" w:cs="Times New Roman"/>
                          <w:b/>
                          <w:sz w:val="21"/>
                          <w:szCs w:val="21"/>
                          <w:lang w:val="en-US" w:eastAsia="zh-CN"/>
                        </w:rPr>
                        <w:t>交付内容组成</w:t>
                      </w:r>
                    </w:p>
                  </w:txbxContent>
                </v:textbox>
              </v:shape>
            </w:pict>
          </mc:Fallback>
        </mc:AlternateContent>
      </w:r>
      <w:r>
        <w:rPr>
          <w:rFonts w:cs="Times New Roman"/>
          <w:b/>
          <w:sz w:val="21"/>
          <w:szCs w:val="21"/>
        </w:rPr>
        <w:br w:type="page"/>
      </w:r>
    </w:p>
    <w:p w14:paraId="13501B7E">
      <w:pPr>
        <w:pStyle w:val="7"/>
        <w:spacing w:before="156" w:after="156"/>
        <w:ind w:firstLine="0" w:firstLineChars="0"/>
        <w:jc w:val="center"/>
        <w:rPr>
          <w:rFonts w:ascii="Times New Roman" w:hAnsi="Times New Roman"/>
          <w:b/>
          <w:sz w:val="21"/>
          <w:szCs w:val="21"/>
        </w:rPr>
      </w:pPr>
    </w:p>
    <w:p w14:paraId="033B7EDA">
      <w:pPr>
        <w:spacing w:before="156" w:after="156"/>
        <w:ind w:firstLine="0" w:firstLineChars="0"/>
        <w:rPr>
          <w:rFonts w:cs="Times New Roman"/>
        </w:rPr>
      </w:pPr>
      <w:r>
        <w:rPr>
          <w:rFonts w:cs="Times New Roman"/>
          <w:b/>
          <w:bCs/>
        </w:rPr>
        <w:t>4.</w:t>
      </w:r>
      <w:r>
        <w:rPr>
          <w:rFonts w:hint="eastAsia" w:cs="Times New Roman"/>
          <w:b/>
          <w:bCs/>
        </w:rPr>
        <w:t>2</w:t>
      </w:r>
      <w:r>
        <w:rPr>
          <w:rFonts w:cs="Times New Roman"/>
          <w:b/>
          <w:bCs/>
        </w:rPr>
        <w:t xml:space="preserve">.4  </w:t>
      </w:r>
      <w:r>
        <w:rPr>
          <w:rFonts w:hint="eastAsia" w:cs="Times New Roman"/>
        </w:rPr>
        <w:t>勘察阶段</w:t>
      </w:r>
      <w:r>
        <w:rPr>
          <w:rFonts w:cs="Times New Roman"/>
        </w:rPr>
        <w:t>模型构件</w:t>
      </w:r>
      <w:r>
        <w:rPr>
          <w:rFonts w:hint="eastAsia" w:cs="Times New Roman"/>
          <w:lang w:val="en-US" w:eastAsia="zh-CN"/>
        </w:rPr>
        <w:t>信息</w:t>
      </w:r>
      <w:r>
        <w:rPr>
          <w:rFonts w:cs="Times New Roman"/>
        </w:rPr>
        <w:t>表项组</w:t>
      </w:r>
      <w:r>
        <w:rPr>
          <w:rFonts w:hint="eastAsia" w:cs="Times New Roman"/>
        </w:rPr>
        <w:t>成宜</w:t>
      </w:r>
      <w:r>
        <w:rPr>
          <w:rFonts w:cs="Times New Roman"/>
        </w:rPr>
        <w:t>按表4.</w:t>
      </w:r>
      <w:r>
        <w:rPr>
          <w:rFonts w:hint="eastAsia" w:cs="Times New Roman"/>
        </w:rPr>
        <w:t>2</w:t>
      </w:r>
      <w:r>
        <w:rPr>
          <w:rFonts w:cs="Times New Roman"/>
        </w:rPr>
        <w:t>.4采用。</w:t>
      </w:r>
    </w:p>
    <w:p w14:paraId="1C7E2F03">
      <w:pPr>
        <w:spacing w:before="156" w:after="156"/>
        <w:ind w:firstLine="0" w:firstLineChars="0"/>
        <w:jc w:val="center"/>
        <w:rPr>
          <w:rFonts w:cs="Times New Roman"/>
          <w:b/>
          <w:bCs/>
          <w:sz w:val="21"/>
          <w:szCs w:val="21"/>
        </w:rPr>
      </w:pPr>
      <w:r>
        <w:rPr>
          <w:rFonts w:cs="Times New Roman"/>
          <w:b/>
          <w:bCs/>
          <w:sz w:val="21"/>
          <w:szCs w:val="21"/>
        </w:rPr>
        <w:t>表4.</w:t>
      </w:r>
      <w:r>
        <w:rPr>
          <w:rFonts w:hint="eastAsia" w:cs="Times New Roman"/>
          <w:b/>
          <w:bCs/>
          <w:sz w:val="21"/>
          <w:szCs w:val="21"/>
        </w:rPr>
        <w:t>2</w:t>
      </w:r>
      <w:r>
        <w:rPr>
          <w:rFonts w:cs="Times New Roman"/>
          <w:b/>
          <w:bCs/>
          <w:sz w:val="21"/>
          <w:szCs w:val="21"/>
        </w:rPr>
        <w:t xml:space="preserve">.4 </w:t>
      </w:r>
      <w:r>
        <w:rPr>
          <w:rFonts w:hint="eastAsia" w:cs="Times New Roman"/>
          <w:b/>
          <w:bCs/>
          <w:sz w:val="21"/>
          <w:szCs w:val="21"/>
        </w:rPr>
        <w:t>勘察阶段</w:t>
      </w:r>
      <w:r>
        <w:rPr>
          <w:rFonts w:cs="Times New Roman"/>
          <w:b/>
          <w:bCs/>
          <w:sz w:val="21"/>
          <w:szCs w:val="21"/>
        </w:rPr>
        <w:t>模型构件</w:t>
      </w:r>
      <w:r>
        <w:rPr>
          <w:rFonts w:hint="eastAsia" w:cs="Times New Roman"/>
          <w:b/>
          <w:bCs/>
          <w:sz w:val="21"/>
          <w:szCs w:val="21"/>
          <w:lang w:val="en-US" w:eastAsia="zh-CN"/>
        </w:rPr>
        <w:t>信息</w:t>
      </w:r>
      <w:r>
        <w:rPr>
          <w:rFonts w:cs="Times New Roman"/>
          <w:b/>
          <w:bCs/>
          <w:sz w:val="21"/>
          <w:szCs w:val="21"/>
        </w:rPr>
        <w:t>组成</w:t>
      </w:r>
    </w:p>
    <w:tbl>
      <w:tblPr>
        <w:tblStyle w:val="18"/>
        <w:tblW w:w="85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7"/>
        <w:gridCol w:w="2862"/>
        <w:gridCol w:w="4791"/>
      </w:tblGrid>
      <w:tr w14:paraId="00B68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7" w:type="dxa"/>
            <w:vAlign w:val="center"/>
          </w:tcPr>
          <w:p w14:paraId="2FDE5A50">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2862" w:type="dxa"/>
            <w:vAlign w:val="center"/>
          </w:tcPr>
          <w:p w14:paraId="003B7FD7">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lang w:val="en-US" w:eastAsia="zh-CN"/>
              </w:rPr>
              <w:t>信息</w:t>
            </w:r>
            <w:r>
              <w:rPr>
                <w:rFonts w:hint="eastAsia" w:ascii="宋体" w:hAnsi="宋体" w:cs="宋体"/>
                <w:sz w:val="21"/>
                <w:szCs w:val="21"/>
              </w:rPr>
              <w:t>表项</w:t>
            </w:r>
          </w:p>
        </w:tc>
        <w:tc>
          <w:tcPr>
            <w:tcW w:w="4791" w:type="dxa"/>
          </w:tcPr>
          <w:p w14:paraId="05A4073E">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模型构件</w:t>
            </w:r>
            <w:r>
              <w:rPr>
                <w:rFonts w:hint="eastAsia" w:ascii="宋体" w:hAnsi="宋体" w:cs="宋体"/>
                <w:sz w:val="21"/>
                <w:szCs w:val="21"/>
                <w:lang w:val="en-US" w:eastAsia="zh-CN"/>
              </w:rPr>
              <w:t>信息</w:t>
            </w:r>
            <w:r>
              <w:rPr>
                <w:rFonts w:hint="eastAsia" w:ascii="宋体" w:hAnsi="宋体" w:cs="宋体"/>
                <w:sz w:val="21"/>
                <w:szCs w:val="21"/>
              </w:rPr>
              <w:t>组成</w:t>
            </w:r>
          </w:p>
        </w:tc>
      </w:tr>
      <w:tr w14:paraId="5A6AE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7" w:type="dxa"/>
            <w:vAlign w:val="center"/>
          </w:tcPr>
          <w:p w14:paraId="759E85F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862" w:type="dxa"/>
            <w:vAlign w:val="center"/>
          </w:tcPr>
          <w:p w14:paraId="5D8595D5">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工程地质模型信息</w:t>
            </w:r>
          </w:p>
        </w:tc>
        <w:tc>
          <w:tcPr>
            <w:tcW w:w="4791" w:type="dxa"/>
          </w:tcPr>
          <w:p w14:paraId="68D1F9D9">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地质调查</w:t>
            </w:r>
            <w:r>
              <w:rPr>
                <w:rFonts w:hint="eastAsia" w:ascii="宋体" w:hAnsi="宋体" w:cs="宋体"/>
                <w:sz w:val="21"/>
                <w:szCs w:val="21"/>
                <w:lang w:val="en-US" w:eastAsia="zh-CN"/>
              </w:rPr>
              <w:t>信息</w:t>
            </w:r>
            <w:r>
              <w:rPr>
                <w:rFonts w:hint="eastAsia" w:ascii="宋体" w:hAnsi="宋体" w:cs="宋体"/>
                <w:sz w:val="21"/>
                <w:szCs w:val="21"/>
              </w:rPr>
              <w:t>、地质测绘</w:t>
            </w:r>
            <w:r>
              <w:rPr>
                <w:rFonts w:hint="eastAsia" w:ascii="宋体" w:hAnsi="宋体" w:cs="宋体"/>
                <w:sz w:val="21"/>
                <w:szCs w:val="21"/>
                <w:lang w:val="en-US" w:eastAsia="zh-CN"/>
              </w:rPr>
              <w:t>信息</w:t>
            </w:r>
            <w:r>
              <w:rPr>
                <w:rFonts w:hint="eastAsia" w:ascii="宋体" w:hAnsi="宋体" w:cs="宋体"/>
                <w:sz w:val="21"/>
                <w:szCs w:val="21"/>
              </w:rPr>
              <w:t>、勘探</w:t>
            </w:r>
            <w:r>
              <w:rPr>
                <w:rFonts w:hint="eastAsia" w:ascii="宋体" w:hAnsi="宋体" w:cs="宋体"/>
                <w:sz w:val="21"/>
                <w:szCs w:val="21"/>
                <w:lang w:val="en-US" w:eastAsia="zh-CN"/>
              </w:rPr>
              <w:t>信息</w:t>
            </w:r>
            <w:r>
              <w:rPr>
                <w:rFonts w:hint="eastAsia" w:ascii="宋体" w:hAnsi="宋体" w:cs="宋体"/>
                <w:sz w:val="21"/>
                <w:szCs w:val="21"/>
              </w:rPr>
              <w:t>、工程物探</w:t>
            </w:r>
            <w:r>
              <w:rPr>
                <w:rFonts w:hint="eastAsia" w:ascii="宋体" w:hAnsi="宋体" w:cs="宋体"/>
                <w:sz w:val="21"/>
                <w:szCs w:val="21"/>
                <w:lang w:val="en-US" w:eastAsia="zh-CN"/>
              </w:rPr>
              <w:t>信息</w:t>
            </w:r>
            <w:r>
              <w:rPr>
                <w:rFonts w:hint="eastAsia" w:ascii="宋体" w:hAnsi="宋体" w:cs="宋体"/>
                <w:sz w:val="21"/>
                <w:szCs w:val="21"/>
              </w:rPr>
              <w:t>、原位测试</w:t>
            </w:r>
            <w:r>
              <w:rPr>
                <w:rFonts w:hint="eastAsia" w:ascii="宋体" w:hAnsi="宋体" w:cs="宋体"/>
                <w:sz w:val="21"/>
                <w:szCs w:val="21"/>
                <w:lang w:val="en-US" w:eastAsia="zh-CN"/>
              </w:rPr>
              <w:t>信息</w:t>
            </w:r>
            <w:r>
              <w:rPr>
                <w:rFonts w:hint="eastAsia" w:ascii="宋体" w:hAnsi="宋体" w:cs="宋体"/>
                <w:sz w:val="21"/>
                <w:szCs w:val="21"/>
              </w:rPr>
              <w:t>、水文地质试验</w:t>
            </w:r>
            <w:r>
              <w:rPr>
                <w:rFonts w:hint="eastAsia" w:ascii="宋体" w:hAnsi="宋体" w:cs="宋体"/>
                <w:sz w:val="21"/>
                <w:szCs w:val="21"/>
                <w:lang w:val="en-US" w:eastAsia="zh-CN"/>
              </w:rPr>
              <w:t>信息</w:t>
            </w:r>
            <w:r>
              <w:rPr>
                <w:rFonts w:hint="eastAsia" w:ascii="宋体" w:hAnsi="宋体" w:cs="宋体"/>
                <w:sz w:val="21"/>
                <w:szCs w:val="21"/>
              </w:rPr>
              <w:t>、室内试验</w:t>
            </w:r>
            <w:r>
              <w:rPr>
                <w:rFonts w:hint="eastAsia" w:ascii="宋体" w:hAnsi="宋体" w:cs="宋体"/>
                <w:sz w:val="21"/>
                <w:szCs w:val="21"/>
                <w:lang w:val="en-US" w:eastAsia="zh-CN"/>
              </w:rPr>
              <w:t>信息</w:t>
            </w:r>
            <w:r>
              <w:rPr>
                <w:rFonts w:hint="eastAsia" w:ascii="宋体" w:hAnsi="宋体" w:cs="宋体"/>
                <w:sz w:val="21"/>
                <w:szCs w:val="21"/>
              </w:rPr>
              <w:t>等</w:t>
            </w:r>
          </w:p>
        </w:tc>
      </w:tr>
      <w:tr w14:paraId="5777B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7" w:type="dxa"/>
            <w:vAlign w:val="center"/>
          </w:tcPr>
          <w:p w14:paraId="5172063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862" w:type="dxa"/>
            <w:vAlign w:val="center"/>
          </w:tcPr>
          <w:p w14:paraId="1E648FD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地表地理模型信息</w:t>
            </w:r>
          </w:p>
        </w:tc>
        <w:tc>
          <w:tcPr>
            <w:tcW w:w="4791" w:type="dxa"/>
          </w:tcPr>
          <w:p w14:paraId="12EE3519">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传统工程测量</w:t>
            </w:r>
            <w:r>
              <w:rPr>
                <w:rFonts w:hint="eastAsia" w:ascii="宋体" w:hAnsi="宋体" w:cs="宋体"/>
                <w:sz w:val="21"/>
                <w:szCs w:val="21"/>
                <w:lang w:val="en-US" w:eastAsia="zh-CN"/>
              </w:rPr>
              <w:t>信息</w:t>
            </w:r>
            <w:r>
              <w:rPr>
                <w:rFonts w:hint="eastAsia" w:ascii="宋体" w:hAnsi="宋体" w:cs="宋体"/>
                <w:sz w:val="21"/>
                <w:szCs w:val="21"/>
              </w:rPr>
              <w:t>、倾斜摄影测量</w:t>
            </w:r>
            <w:r>
              <w:rPr>
                <w:rFonts w:hint="eastAsia" w:ascii="宋体" w:hAnsi="宋体" w:cs="宋体"/>
                <w:sz w:val="21"/>
                <w:szCs w:val="21"/>
                <w:lang w:val="en-US" w:eastAsia="zh-CN"/>
              </w:rPr>
              <w:t>信息</w:t>
            </w:r>
            <w:r>
              <w:rPr>
                <w:rFonts w:hint="eastAsia" w:ascii="宋体" w:hAnsi="宋体" w:cs="宋体"/>
                <w:sz w:val="21"/>
                <w:szCs w:val="21"/>
              </w:rPr>
              <w:t>、三维激光扫描</w:t>
            </w:r>
            <w:r>
              <w:rPr>
                <w:rFonts w:hint="eastAsia" w:ascii="宋体" w:hAnsi="宋体" w:cs="宋体"/>
                <w:sz w:val="21"/>
                <w:szCs w:val="21"/>
                <w:lang w:val="en-US" w:eastAsia="zh-CN"/>
              </w:rPr>
              <w:t>信息</w:t>
            </w:r>
            <w:r>
              <w:rPr>
                <w:rFonts w:hint="eastAsia" w:ascii="宋体" w:hAnsi="宋体" w:cs="宋体"/>
                <w:sz w:val="21"/>
                <w:szCs w:val="21"/>
              </w:rPr>
              <w:t>、地表测绘图</w:t>
            </w:r>
            <w:r>
              <w:rPr>
                <w:rFonts w:hint="eastAsia" w:ascii="宋体" w:hAnsi="宋体" w:cs="宋体"/>
                <w:sz w:val="21"/>
                <w:szCs w:val="21"/>
                <w:lang w:val="en-US" w:eastAsia="zh-CN"/>
              </w:rPr>
              <w:t>信息</w:t>
            </w:r>
            <w:r>
              <w:rPr>
                <w:rFonts w:hint="eastAsia" w:ascii="宋体" w:hAnsi="宋体" w:cs="宋体"/>
                <w:sz w:val="21"/>
                <w:szCs w:val="21"/>
              </w:rPr>
              <w:t>、工程竣工图</w:t>
            </w:r>
            <w:r>
              <w:rPr>
                <w:rFonts w:hint="eastAsia" w:ascii="宋体" w:hAnsi="宋体" w:cs="宋体"/>
                <w:sz w:val="21"/>
                <w:szCs w:val="21"/>
                <w:lang w:val="en-US" w:eastAsia="zh-CN"/>
              </w:rPr>
              <w:t>信息</w:t>
            </w:r>
            <w:r>
              <w:rPr>
                <w:rFonts w:hint="eastAsia" w:ascii="宋体" w:hAnsi="宋体" w:cs="宋体"/>
                <w:sz w:val="21"/>
                <w:szCs w:val="21"/>
              </w:rPr>
              <w:t>等</w:t>
            </w:r>
          </w:p>
        </w:tc>
      </w:tr>
      <w:tr w14:paraId="36A84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jc w:val="center"/>
        </w:trPr>
        <w:tc>
          <w:tcPr>
            <w:tcW w:w="867" w:type="dxa"/>
            <w:vAlign w:val="center"/>
          </w:tcPr>
          <w:p w14:paraId="25B4AC2F">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2862" w:type="dxa"/>
            <w:vAlign w:val="center"/>
          </w:tcPr>
          <w:p w14:paraId="1F3E51DB">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地下既有工程体模型信息</w:t>
            </w:r>
          </w:p>
        </w:tc>
        <w:tc>
          <w:tcPr>
            <w:tcW w:w="4791" w:type="dxa"/>
          </w:tcPr>
          <w:p w14:paraId="34D6FCAD">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测绘地理信息数据、管线物探信息数据、既有工程竣工图数据、三维实测信息数据等</w:t>
            </w:r>
          </w:p>
        </w:tc>
      </w:tr>
      <w:tr w14:paraId="15F57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7" w:type="dxa"/>
            <w:vAlign w:val="center"/>
          </w:tcPr>
          <w:p w14:paraId="700EF769">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2862" w:type="dxa"/>
            <w:vAlign w:val="center"/>
          </w:tcPr>
          <w:p w14:paraId="09367A9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其他模型信息</w:t>
            </w:r>
          </w:p>
        </w:tc>
        <w:tc>
          <w:tcPr>
            <w:tcW w:w="4791" w:type="dxa"/>
          </w:tcPr>
          <w:p w14:paraId="0A08FD99">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勘察阶段需补充的其他模型、构件信息</w:t>
            </w:r>
          </w:p>
        </w:tc>
      </w:tr>
    </w:tbl>
    <w:p w14:paraId="063464D8">
      <w:pPr>
        <w:spacing w:before="156" w:after="156"/>
        <w:ind w:firstLine="0" w:firstLineChars="0"/>
        <w:rPr>
          <w:rFonts w:cs="Times New Roman"/>
        </w:rPr>
      </w:pPr>
      <w:r>
        <w:rPr>
          <w:rFonts w:cs="Times New Roman"/>
          <w:b/>
          <w:bCs/>
        </w:rPr>
        <w:t>4.</w:t>
      </w:r>
      <w:r>
        <w:rPr>
          <w:rFonts w:hint="eastAsia" w:cs="Times New Roman"/>
          <w:b/>
          <w:bCs/>
        </w:rPr>
        <w:t>2</w:t>
      </w:r>
      <w:r>
        <w:rPr>
          <w:rFonts w:cs="Times New Roman"/>
          <w:b/>
          <w:bCs/>
        </w:rPr>
        <w:t xml:space="preserve">.5  </w:t>
      </w:r>
      <w:r>
        <w:rPr>
          <w:rFonts w:cs="Times New Roman"/>
        </w:rPr>
        <w:t>勘察</w:t>
      </w:r>
      <w:r>
        <w:rPr>
          <w:rFonts w:hint="eastAsia" w:cs="Times New Roman"/>
        </w:rPr>
        <w:t>阶段应用</w:t>
      </w:r>
      <w:r>
        <w:rPr>
          <w:rFonts w:cs="Times New Roman"/>
        </w:rPr>
        <w:t>成果</w:t>
      </w:r>
      <w:r>
        <w:rPr>
          <w:rFonts w:hint="eastAsia" w:cs="Times New Roman"/>
          <w:lang w:val="en-US" w:eastAsia="zh-CN"/>
        </w:rPr>
        <w:t>信息</w:t>
      </w:r>
      <w:r>
        <w:rPr>
          <w:rFonts w:cs="Times New Roman"/>
        </w:rPr>
        <w:t>表项组成</w:t>
      </w:r>
      <w:r>
        <w:rPr>
          <w:rFonts w:hint="eastAsia" w:cs="Times New Roman"/>
        </w:rPr>
        <w:t>宜</w:t>
      </w:r>
      <w:r>
        <w:rPr>
          <w:rFonts w:cs="Times New Roman"/>
        </w:rPr>
        <w:t>按表4.</w:t>
      </w:r>
      <w:r>
        <w:rPr>
          <w:rFonts w:hint="eastAsia" w:cs="Times New Roman"/>
        </w:rPr>
        <w:t>2</w:t>
      </w:r>
      <w:r>
        <w:rPr>
          <w:rFonts w:cs="Times New Roman"/>
        </w:rPr>
        <w:t>.5采用。</w:t>
      </w:r>
    </w:p>
    <w:p w14:paraId="230D5AA2">
      <w:pPr>
        <w:spacing w:before="156" w:after="156"/>
        <w:ind w:firstLine="0" w:firstLineChars="0"/>
        <w:jc w:val="center"/>
        <w:rPr>
          <w:rFonts w:cs="Times New Roman"/>
          <w:b/>
          <w:bCs/>
          <w:sz w:val="21"/>
          <w:szCs w:val="21"/>
        </w:rPr>
      </w:pPr>
      <w:r>
        <w:rPr>
          <w:rFonts w:cs="Times New Roman"/>
          <w:b/>
          <w:bCs/>
          <w:sz w:val="21"/>
          <w:szCs w:val="21"/>
        </w:rPr>
        <w:t>表4.</w:t>
      </w:r>
      <w:r>
        <w:rPr>
          <w:rFonts w:hint="eastAsia" w:cs="Times New Roman"/>
          <w:b/>
          <w:bCs/>
          <w:sz w:val="21"/>
          <w:szCs w:val="21"/>
        </w:rPr>
        <w:t>2</w:t>
      </w:r>
      <w:r>
        <w:rPr>
          <w:rFonts w:cs="Times New Roman"/>
          <w:b/>
          <w:bCs/>
          <w:sz w:val="21"/>
          <w:szCs w:val="21"/>
        </w:rPr>
        <w:t>.5 勘察</w:t>
      </w:r>
      <w:r>
        <w:rPr>
          <w:rFonts w:hint="eastAsia" w:cs="Times New Roman"/>
          <w:b/>
          <w:bCs/>
          <w:sz w:val="21"/>
          <w:szCs w:val="21"/>
        </w:rPr>
        <w:t>阶段</w:t>
      </w:r>
      <w:r>
        <w:rPr>
          <w:rFonts w:cs="Times New Roman"/>
          <w:b/>
          <w:bCs/>
          <w:sz w:val="21"/>
          <w:szCs w:val="21"/>
        </w:rPr>
        <w:t>应用成果</w:t>
      </w:r>
      <w:r>
        <w:rPr>
          <w:rFonts w:hint="eastAsia" w:cs="Times New Roman"/>
          <w:b/>
          <w:bCs/>
          <w:sz w:val="21"/>
          <w:szCs w:val="21"/>
          <w:lang w:val="en-US" w:eastAsia="zh-CN"/>
        </w:rPr>
        <w:t>信息</w:t>
      </w:r>
      <w:r>
        <w:rPr>
          <w:rFonts w:cs="Times New Roman"/>
          <w:b/>
          <w:bCs/>
          <w:sz w:val="21"/>
          <w:szCs w:val="21"/>
        </w:rPr>
        <w:t>组成</w:t>
      </w:r>
    </w:p>
    <w:tbl>
      <w:tblPr>
        <w:tblStyle w:val="18"/>
        <w:tblW w:w="8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8"/>
        <w:gridCol w:w="2637"/>
        <w:gridCol w:w="5016"/>
      </w:tblGrid>
      <w:tr w14:paraId="20A9D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525ABA1D">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2637" w:type="dxa"/>
            <w:vAlign w:val="center"/>
          </w:tcPr>
          <w:p w14:paraId="7DA2CC6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lang w:val="en-US" w:eastAsia="zh-CN"/>
              </w:rPr>
              <w:t>信息</w:t>
            </w:r>
            <w:r>
              <w:rPr>
                <w:rFonts w:hint="eastAsia" w:ascii="宋体" w:hAnsi="宋体" w:cs="宋体"/>
                <w:sz w:val="21"/>
                <w:szCs w:val="21"/>
              </w:rPr>
              <w:t>表项</w:t>
            </w:r>
          </w:p>
        </w:tc>
        <w:tc>
          <w:tcPr>
            <w:tcW w:w="5016" w:type="dxa"/>
            <w:vAlign w:val="center"/>
          </w:tcPr>
          <w:p w14:paraId="6987FAB5">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应用成果</w:t>
            </w:r>
            <w:r>
              <w:rPr>
                <w:rFonts w:hint="eastAsia" w:ascii="宋体" w:hAnsi="宋体" w:cs="宋体"/>
                <w:sz w:val="21"/>
                <w:szCs w:val="21"/>
                <w:lang w:val="en-US" w:eastAsia="zh-CN"/>
              </w:rPr>
              <w:t>信息</w:t>
            </w:r>
            <w:r>
              <w:rPr>
                <w:rFonts w:hint="eastAsia" w:ascii="宋体" w:hAnsi="宋体" w:cs="宋体"/>
                <w:sz w:val="21"/>
                <w:szCs w:val="21"/>
              </w:rPr>
              <w:t>组成</w:t>
            </w:r>
          </w:p>
        </w:tc>
      </w:tr>
      <w:tr w14:paraId="2E735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2FCE770B">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637" w:type="dxa"/>
            <w:vAlign w:val="center"/>
          </w:tcPr>
          <w:p w14:paraId="1EB9AF7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场地稳定性分析信息</w:t>
            </w:r>
          </w:p>
        </w:tc>
        <w:tc>
          <w:tcPr>
            <w:tcW w:w="5016" w:type="dxa"/>
            <w:vAlign w:val="center"/>
          </w:tcPr>
          <w:p w14:paraId="548C8912">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基础地质信息、地震信息、水文地质信息、不良地质作用与地质灾害信息、地形地貌信息、唯一标识码等</w:t>
            </w:r>
          </w:p>
        </w:tc>
      </w:tr>
      <w:tr w14:paraId="18A00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1AD772F6">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637" w:type="dxa"/>
            <w:vAlign w:val="center"/>
          </w:tcPr>
          <w:p w14:paraId="5662115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建设适宜性分析信息</w:t>
            </w:r>
          </w:p>
        </w:tc>
        <w:tc>
          <w:tcPr>
            <w:tcW w:w="5016" w:type="dxa"/>
            <w:vAlign w:val="center"/>
          </w:tcPr>
          <w:p w14:paraId="0B3F5B59">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基础地质信息、生态和环境信息、社会经济信息、技术可行性信息、资源投入信息、唯一标识码等</w:t>
            </w:r>
          </w:p>
        </w:tc>
      </w:tr>
      <w:tr w14:paraId="65BD3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4F85DEA6">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2637" w:type="dxa"/>
            <w:vAlign w:val="center"/>
          </w:tcPr>
          <w:p w14:paraId="5DBB63BD">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岩土工程分析信息</w:t>
            </w:r>
          </w:p>
        </w:tc>
        <w:tc>
          <w:tcPr>
            <w:tcW w:w="5016" w:type="dxa"/>
            <w:vAlign w:val="center"/>
          </w:tcPr>
          <w:p w14:paraId="78EE36E7">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基础地质信息、岩土物理力学性质、岩土工程结构信息、场地条件与风险评估、岩土工程施工信息、工程设计与监测信息、唯一标识码等</w:t>
            </w:r>
          </w:p>
        </w:tc>
      </w:tr>
      <w:tr w14:paraId="17A6D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26C10E2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2637" w:type="dxa"/>
            <w:vAlign w:val="center"/>
          </w:tcPr>
          <w:p w14:paraId="5747F17C">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工程测量报告信息</w:t>
            </w:r>
          </w:p>
        </w:tc>
        <w:tc>
          <w:tcPr>
            <w:tcW w:w="5016" w:type="dxa"/>
            <w:vAlign w:val="center"/>
          </w:tcPr>
          <w:p w14:paraId="7E0818A8">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道路工程测量信息、隧道工程测量信息、桥涵工程测量信息、建筑工程测量信息、矿山工程测量信息、地质工程测量信息、唯一标识码等</w:t>
            </w:r>
          </w:p>
        </w:tc>
      </w:tr>
      <w:tr w14:paraId="5F079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760BBF44">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2637" w:type="dxa"/>
            <w:vAlign w:val="center"/>
          </w:tcPr>
          <w:p w14:paraId="3BB58CA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管线物探报告信息</w:t>
            </w:r>
          </w:p>
        </w:tc>
        <w:tc>
          <w:tcPr>
            <w:tcW w:w="5016" w:type="dxa"/>
            <w:vAlign w:val="center"/>
          </w:tcPr>
          <w:p w14:paraId="3EE129A6">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地形图库信息、管线探查信息、管线测量信息、管线数据信息、管线维护信息、唯一标识码等</w:t>
            </w:r>
          </w:p>
        </w:tc>
      </w:tr>
      <w:tr w14:paraId="2E32B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4120CF3F">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2637" w:type="dxa"/>
            <w:vAlign w:val="center"/>
          </w:tcPr>
          <w:p w14:paraId="22BB6CB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勘察报告信息</w:t>
            </w:r>
          </w:p>
        </w:tc>
        <w:tc>
          <w:tcPr>
            <w:tcW w:w="5016" w:type="dxa"/>
            <w:vAlign w:val="center"/>
          </w:tcPr>
          <w:p w14:paraId="0B46979A">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地形地貌信息、水文地质信息、地下水文信息、环境地质信息、岩土工程信息、唯一标识码等</w:t>
            </w:r>
          </w:p>
        </w:tc>
      </w:tr>
      <w:tr w14:paraId="4C850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68" w:type="dxa"/>
            <w:vAlign w:val="center"/>
          </w:tcPr>
          <w:p w14:paraId="69B2E234">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7</w:t>
            </w:r>
          </w:p>
        </w:tc>
        <w:tc>
          <w:tcPr>
            <w:tcW w:w="2637" w:type="dxa"/>
            <w:vAlign w:val="center"/>
          </w:tcPr>
          <w:p w14:paraId="0E9CD0CA">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其他应用成果信息</w:t>
            </w:r>
          </w:p>
        </w:tc>
        <w:tc>
          <w:tcPr>
            <w:tcW w:w="5016" w:type="dxa"/>
            <w:vAlign w:val="center"/>
          </w:tcPr>
          <w:p w14:paraId="31029E70">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唯一标识码、编码、备注、应用类型、应用成果文件名称、应用成果文件类型、版本号、内容描述、编制人员、提交时间等</w:t>
            </w:r>
          </w:p>
        </w:tc>
      </w:tr>
    </w:tbl>
    <w:p w14:paraId="27378E1F">
      <w:pPr>
        <w:spacing w:before="156" w:after="156"/>
        <w:ind w:firstLine="0" w:firstLineChars="0"/>
        <w:rPr>
          <w:rFonts w:cs="Times New Roman"/>
        </w:rPr>
      </w:pPr>
      <w:r>
        <w:rPr>
          <w:rFonts w:cs="Times New Roman"/>
          <w:b/>
          <w:bCs/>
        </w:rPr>
        <w:t>4.</w:t>
      </w:r>
      <w:r>
        <w:rPr>
          <w:rFonts w:hint="eastAsia" w:cs="Times New Roman"/>
          <w:b/>
          <w:bCs/>
        </w:rPr>
        <w:t>2</w:t>
      </w:r>
      <w:r>
        <w:rPr>
          <w:rFonts w:cs="Times New Roman"/>
          <w:b/>
          <w:bCs/>
        </w:rPr>
        <w:t>.</w:t>
      </w:r>
      <w:r>
        <w:rPr>
          <w:rFonts w:hint="eastAsia" w:cs="Times New Roman"/>
          <w:b/>
          <w:bCs/>
        </w:rPr>
        <w:t>6</w:t>
      </w:r>
      <w:r>
        <w:rPr>
          <w:rFonts w:cs="Times New Roman"/>
        </w:rPr>
        <w:t xml:space="preserve">  勘察</w:t>
      </w:r>
      <w:r>
        <w:rPr>
          <w:rFonts w:hint="eastAsia" w:cs="Times New Roman"/>
        </w:rPr>
        <w:t>阶段</w:t>
      </w:r>
      <w:r>
        <w:rPr>
          <w:rFonts w:cs="Times New Roman"/>
        </w:rPr>
        <w:t>其他</w:t>
      </w:r>
      <w:r>
        <w:rPr>
          <w:rFonts w:hint="eastAsia" w:cs="Times New Roman"/>
          <w:lang w:val="en-US" w:eastAsia="zh-CN"/>
        </w:rPr>
        <w:t>信息</w:t>
      </w:r>
      <w:r>
        <w:rPr>
          <w:rFonts w:cs="Times New Roman"/>
        </w:rPr>
        <w:t>表项组成</w:t>
      </w:r>
      <w:r>
        <w:rPr>
          <w:rFonts w:hint="eastAsia" w:cs="Times New Roman"/>
        </w:rPr>
        <w:t>宜</w:t>
      </w:r>
      <w:r>
        <w:rPr>
          <w:rFonts w:cs="Times New Roman"/>
        </w:rPr>
        <w:t>按表4.</w:t>
      </w:r>
      <w:r>
        <w:rPr>
          <w:rFonts w:hint="eastAsia" w:cs="Times New Roman"/>
        </w:rPr>
        <w:t>2</w:t>
      </w:r>
      <w:r>
        <w:rPr>
          <w:rFonts w:cs="Times New Roman"/>
        </w:rPr>
        <w:t>.</w:t>
      </w:r>
      <w:r>
        <w:rPr>
          <w:rFonts w:hint="eastAsia" w:cs="Times New Roman"/>
        </w:rPr>
        <w:t>6</w:t>
      </w:r>
      <w:r>
        <w:rPr>
          <w:rFonts w:cs="Times New Roman"/>
        </w:rPr>
        <w:t>采用。</w:t>
      </w:r>
    </w:p>
    <w:p w14:paraId="1954024C">
      <w:pPr>
        <w:spacing w:before="156" w:after="156"/>
        <w:ind w:firstLine="422"/>
        <w:jc w:val="center"/>
        <w:rPr>
          <w:rFonts w:cs="Times New Roman"/>
          <w:b/>
          <w:bCs/>
          <w:sz w:val="21"/>
          <w:szCs w:val="21"/>
        </w:rPr>
      </w:pPr>
      <w:r>
        <w:rPr>
          <w:rFonts w:cs="Times New Roman"/>
          <w:b/>
          <w:bCs/>
          <w:sz w:val="21"/>
          <w:szCs w:val="21"/>
        </w:rPr>
        <w:t>表4.</w:t>
      </w:r>
      <w:r>
        <w:rPr>
          <w:rFonts w:hint="eastAsia" w:cs="Times New Roman"/>
          <w:b/>
          <w:bCs/>
          <w:sz w:val="21"/>
          <w:szCs w:val="21"/>
        </w:rPr>
        <w:t>2</w:t>
      </w:r>
      <w:r>
        <w:rPr>
          <w:rFonts w:cs="Times New Roman"/>
          <w:b/>
          <w:bCs/>
          <w:sz w:val="21"/>
          <w:szCs w:val="21"/>
        </w:rPr>
        <w:t>.</w:t>
      </w:r>
      <w:r>
        <w:rPr>
          <w:rFonts w:hint="eastAsia" w:cs="Times New Roman"/>
          <w:b/>
          <w:bCs/>
          <w:sz w:val="21"/>
          <w:szCs w:val="21"/>
        </w:rPr>
        <w:t>6</w:t>
      </w:r>
      <w:r>
        <w:rPr>
          <w:rFonts w:cs="Times New Roman"/>
          <w:b/>
          <w:bCs/>
          <w:sz w:val="21"/>
          <w:szCs w:val="21"/>
        </w:rPr>
        <w:t xml:space="preserve"> 勘察</w:t>
      </w:r>
      <w:r>
        <w:rPr>
          <w:rFonts w:hint="eastAsia" w:cs="Times New Roman"/>
          <w:b/>
          <w:bCs/>
          <w:sz w:val="21"/>
          <w:szCs w:val="21"/>
        </w:rPr>
        <w:t>阶段</w:t>
      </w:r>
      <w:r>
        <w:rPr>
          <w:rFonts w:cs="Times New Roman"/>
          <w:b/>
          <w:bCs/>
          <w:sz w:val="21"/>
          <w:szCs w:val="21"/>
        </w:rPr>
        <w:t>其他</w:t>
      </w:r>
      <w:r>
        <w:rPr>
          <w:rFonts w:hint="eastAsia" w:cs="Times New Roman"/>
          <w:b/>
          <w:bCs/>
          <w:sz w:val="21"/>
          <w:szCs w:val="21"/>
          <w:lang w:val="en-US" w:eastAsia="zh-CN"/>
        </w:rPr>
        <w:t>信息</w:t>
      </w:r>
      <w:r>
        <w:rPr>
          <w:rFonts w:cs="Times New Roman"/>
          <w:b/>
          <w:bCs/>
          <w:sz w:val="21"/>
          <w:szCs w:val="21"/>
        </w:rPr>
        <w:t>组成</w:t>
      </w:r>
    </w:p>
    <w:tbl>
      <w:tblPr>
        <w:tblStyle w:val="18"/>
        <w:tblW w:w="85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
        <w:gridCol w:w="2652"/>
        <w:gridCol w:w="5016"/>
      </w:tblGrid>
      <w:tr w14:paraId="4303D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 w:type="dxa"/>
          </w:tcPr>
          <w:p w14:paraId="46E8D894">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2652" w:type="dxa"/>
          </w:tcPr>
          <w:p w14:paraId="6DC97DB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lang w:val="en-US" w:eastAsia="zh-CN"/>
              </w:rPr>
              <w:t>信息</w:t>
            </w:r>
            <w:r>
              <w:rPr>
                <w:rFonts w:hint="eastAsia" w:ascii="宋体" w:hAnsi="宋体" w:cs="宋体"/>
                <w:sz w:val="21"/>
                <w:szCs w:val="21"/>
              </w:rPr>
              <w:t>表项</w:t>
            </w:r>
          </w:p>
        </w:tc>
        <w:tc>
          <w:tcPr>
            <w:tcW w:w="5016" w:type="dxa"/>
          </w:tcPr>
          <w:p w14:paraId="65E9523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w:t>
            </w:r>
            <w:r>
              <w:rPr>
                <w:rFonts w:hint="eastAsia" w:ascii="宋体" w:hAnsi="宋体" w:cs="宋体"/>
                <w:sz w:val="21"/>
                <w:szCs w:val="21"/>
                <w:lang w:val="en-US" w:eastAsia="zh-CN"/>
              </w:rPr>
              <w:t>信息</w:t>
            </w:r>
            <w:r>
              <w:rPr>
                <w:rFonts w:hint="eastAsia" w:ascii="宋体" w:hAnsi="宋体" w:cs="宋体"/>
                <w:sz w:val="21"/>
                <w:szCs w:val="21"/>
              </w:rPr>
              <w:t>组成</w:t>
            </w:r>
          </w:p>
        </w:tc>
      </w:tr>
      <w:tr w14:paraId="6D4F8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5" w:hRule="atLeast"/>
          <w:jc w:val="center"/>
        </w:trPr>
        <w:tc>
          <w:tcPr>
            <w:tcW w:w="852" w:type="dxa"/>
          </w:tcPr>
          <w:p w14:paraId="051DDC6F">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652" w:type="dxa"/>
            <w:vAlign w:val="center"/>
          </w:tcPr>
          <w:p w14:paraId="659E3AE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项目基础信息</w:t>
            </w:r>
          </w:p>
        </w:tc>
        <w:tc>
          <w:tcPr>
            <w:tcW w:w="5016" w:type="dxa"/>
          </w:tcPr>
          <w:p w14:paraId="0246B30C">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唯一标识码、备注、项目名称、项目编号、建设地址、建设单位、设计单位、勘察单位、咨询单位、施工单位、监理单位、图审单位、坐标系名称、高程系名称、基点坐标X、基点坐标Y、基点高程</w:t>
            </w:r>
          </w:p>
        </w:tc>
      </w:tr>
      <w:tr w14:paraId="2A815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 w:type="dxa"/>
          </w:tcPr>
          <w:p w14:paraId="1E36D9F4">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652" w:type="dxa"/>
            <w:vAlign w:val="center"/>
          </w:tcPr>
          <w:p w14:paraId="3954333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模型文件信息</w:t>
            </w:r>
          </w:p>
        </w:tc>
        <w:tc>
          <w:tcPr>
            <w:tcW w:w="5016" w:type="dxa"/>
          </w:tcPr>
          <w:p w14:paraId="6E3CB890">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唯一标识码、编码、文件名称、项目名称、项目编码、阶段类型、模型类型、模型精度、编制人员、提交时间、文件格式、文件引用、文件版本</w:t>
            </w:r>
          </w:p>
        </w:tc>
      </w:tr>
      <w:tr w14:paraId="61896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 w:type="dxa"/>
          </w:tcPr>
          <w:p w14:paraId="3FE82FD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2652" w:type="dxa"/>
            <w:vAlign w:val="center"/>
          </w:tcPr>
          <w:p w14:paraId="497F867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图片文件信息</w:t>
            </w:r>
          </w:p>
        </w:tc>
        <w:tc>
          <w:tcPr>
            <w:tcW w:w="5016" w:type="dxa"/>
          </w:tcPr>
          <w:p w14:paraId="3C569B1C">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唯一标识码、编码、文件名称、项目名称、项目编码、阶段类型、图片类型、提交人员、提交时间、文件格式、文件引用、文件版本</w:t>
            </w:r>
          </w:p>
        </w:tc>
      </w:tr>
      <w:tr w14:paraId="24A5B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 w:type="dxa"/>
          </w:tcPr>
          <w:p w14:paraId="6E86677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2652" w:type="dxa"/>
            <w:vAlign w:val="center"/>
          </w:tcPr>
          <w:p w14:paraId="353C84D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视频文件信息</w:t>
            </w:r>
          </w:p>
        </w:tc>
        <w:tc>
          <w:tcPr>
            <w:tcW w:w="5016" w:type="dxa"/>
          </w:tcPr>
          <w:p w14:paraId="6DC11DEB">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唯一标识码、编码、文件名称、项目名称、项目编码、阶段类型、视频类型、文件大小、编制人员、提交时间、文件格式、文件引用、文件版本</w:t>
            </w:r>
          </w:p>
        </w:tc>
      </w:tr>
      <w:tr w14:paraId="3C547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2" w:type="dxa"/>
          </w:tcPr>
          <w:p w14:paraId="05583F0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2652" w:type="dxa"/>
            <w:vAlign w:val="center"/>
          </w:tcPr>
          <w:p w14:paraId="257769F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图纸文件信息</w:t>
            </w:r>
          </w:p>
        </w:tc>
        <w:tc>
          <w:tcPr>
            <w:tcW w:w="5016" w:type="dxa"/>
          </w:tcPr>
          <w:p w14:paraId="71289120">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唯一标识码、编码、文件名称、项目名称、项目编码、阶段类型、图纸类型、编制人员、提交时间、文件格式、文件引用、文件版本</w:t>
            </w:r>
          </w:p>
        </w:tc>
      </w:tr>
      <w:tr w14:paraId="62AAD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852" w:type="dxa"/>
          </w:tcPr>
          <w:p w14:paraId="0E6D1D0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2652" w:type="dxa"/>
            <w:vAlign w:val="center"/>
          </w:tcPr>
          <w:p w14:paraId="0B00057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报告文件信息</w:t>
            </w:r>
          </w:p>
        </w:tc>
        <w:tc>
          <w:tcPr>
            <w:tcW w:w="5016" w:type="dxa"/>
          </w:tcPr>
          <w:p w14:paraId="1ADE713C">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唯一标识码、编码、报告名称、项目名称、项目编码、阶段类型、报告类型、编制人员、提交时间、文件格式、文件引用、文件版本</w:t>
            </w:r>
          </w:p>
        </w:tc>
      </w:tr>
    </w:tbl>
    <w:p w14:paraId="500C7EA8">
      <w:pPr>
        <w:pStyle w:val="3"/>
        <w:spacing w:before="156" w:after="156"/>
        <w:ind w:firstLine="482"/>
        <w:rPr>
          <w:rFonts w:hint="default" w:cs="Times New Roman"/>
          <w:lang w:val="en-US"/>
        </w:rPr>
      </w:pPr>
      <w:bookmarkStart w:id="20" w:name="_Toc14902"/>
      <w:bookmarkStart w:id="21" w:name="_Toc1278"/>
      <w:r>
        <w:rPr>
          <w:rFonts w:cs="Times New Roman"/>
        </w:rPr>
        <w:t>4.</w:t>
      </w:r>
      <w:r>
        <w:rPr>
          <w:rFonts w:hint="eastAsia" w:cs="Times New Roman"/>
        </w:rPr>
        <w:t>3</w:t>
      </w:r>
      <w:r>
        <w:rPr>
          <w:rFonts w:cs="Times New Roman"/>
        </w:rPr>
        <w:t xml:space="preserve">  </w:t>
      </w:r>
      <w:r>
        <w:rPr>
          <w:rFonts w:cs="Times New Roman"/>
          <w:b w:val="0"/>
          <w:bCs w:val="0"/>
        </w:rPr>
        <w:t>设计阶段</w:t>
      </w:r>
      <w:bookmarkEnd w:id="20"/>
      <w:r>
        <w:rPr>
          <w:rFonts w:hint="eastAsia" w:cs="Times New Roman"/>
          <w:b w:val="0"/>
          <w:bCs w:val="0"/>
          <w:lang w:val="en-US" w:eastAsia="zh-CN"/>
        </w:rPr>
        <w:t>交付内容</w:t>
      </w:r>
      <w:bookmarkEnd w:id="21"/>
    </w:p>
    <w:p w14:paraId="0A63C3CF">
      <w:pPr>
        <w:spacing w:before="156" w:after="156"/>
        <w:ind w:firstLine="0" w:firstLineChars="0"/>
        <w:rPr>
          <w:rFonts w:cs="Times New Roman"/>
        </w:rPr>
      </w:pPr>
      <w:r>
        <w:rPr>
          <w:rFonts w:cs="Times New Roman"/>
          <w:b/>
        </w:rPr>
        <w:t>4.</w:t>
      </w:r>
      <w:r>
        <w:rPr>
          <w:rFonts w:hint="eastAsia" w:cs="Times New Roman"/>
          <w:b/>
        </w:rPr>
        <w:t>3</w:t>
      </w:r>
      <w:r>
        <w:rPr>
          <w:rFonts w:cs="Times New Roman"/>
          <w:b/>
        </w:rPr>
        <w:t xml:space="preserve">.1  </w:t>
      </w:r>
      <w:r>
        <w:rPr>
          <w:rFonts w:cs="Times New Roman"/>
        </w:rPr>
        <w:t>设计阶段</w:t>
      </w:r>
      <w:r>
        <w:rPr>
          <w:rFonts w:hint="eastAsia" w:cs="Times New Roman"/>
          <w:lang w:val="en-US" w:eastAsia="zh-CN"/>
        </w:rPr>
        <w:t>交付内容</w:t>
      </w:r>
      <w:r>
        <w:rPr>
          <w:rFonts w:cs="Times New Roman"/>
        </w:rPr>
        <w:t>应包含设计模型</w:t>
      </w:r>
      <w:r>
        <w:rPr>
          <w:rFonts w:hint="eastAsia" w:cs="Times New Roman"/>
          <w:lang w:val="en-US" w:eastAsia="zh-CN"/>
        </w:rPr>
        <w:t>信息</w:t>
      </w:r>
      <w:r>
        <w:rPr>
          <w:rFonts w:cs="Times New Roman"/>
        </w:rPr>
        <w:t>和设计</w:t>
      </w:r>
      <w:r>
        <w:rPr>
          <w:rFonts w:hint="eastAsia" w:cs="Times New Roman"/>
          <w:lang w:val="en-US" w:eastAsia="zh-CN"/>
        </w:rPr>
        <w:t>应用</w:t>
      </w:r>
      <w:r>
        <w:rPr>
          <w:rFonts w:cs="Times New Roman"/>
        </w:rPr>
        <w:t>管理等相关非模型</w:t>
      </w:r>
      <w:r>
        <w:rPr>
          <w:rFonts w:hint="eastAsia" w:cs="Times New Roman"/>
          <w:lang w:val="en-US" w:eastAsia="zh-CN"/>
        </w:rPr>
        <w:t>信息</w:t>
      </w:r>
      <w:r>
        <w:rPr>
          <w:rFonts w:cs="Times New Roman"/>
        </w:rPr>
        <w:t>，</w:t>
      </w:r>
      <w:r>
        <w:rPr>
          <w:rFonts w:hint="eastAsia" w:cs="Times New Roman"/>
          <w:lang w:val="en-US" w:eastAsia="zh-CN"/>
        </w:rPr>
        <w:t>并</w:t>
      </w:r>
      <w:r>
        <w:rPr>
          <w:rFonts w:cs="Times New Roman"/>
        </w:rPr>
        <w:t>应满足该阶段成果交付的要求。</w:t>
      </w:r>
    </w:p>
    <w:p w14:paraId="305B8855">
      <w:pPr>
        <w:spacing w:before="156" w:after="156"/>
        <w:ind w:firstLine="0" w:firstLineChars="0"/>
        <w:rPr>
          <w:rFonts w:cs="Times New Roman"/>
        </w:rPr>
      </w:pPr>
      <w:r>
        <w:rPr>
          <w:rFonts w:cs="Times New Roman"/>
          <w:b/>
        </w:rPr>
        <w:t>4.</w:t>
      </w:r>
      <w:r>
        <w:rPr>
          <w:rFonts w:hint="eastAsia" w:cs="Times New Roman"/>
          <w:b/>
        </w:rPr>
        <w:t>3</w:t>
      </w:r>
      <w:r>
        <w:rPr>
          <w:rFonts w:cs="Times New Roman"/>
          <w:b/>
        </w:rPr>
        <w:t>.2</w:t>
      </w:r>
      <w:r>
        <w:rPr>
          <w:rFonts w:cs="Times New Roman"/>
        </w:rPr>
        <w:t xml:space="preserve">  根据</w:t>
      </w:r>
      <w:r>
        <w:rPr>
          <w:rFonts w:hint="eastAsia" w:cs="Times New Roman"/>
          <w:lang w:val="en-US" w:eastAsia="zh-CN"/>
        </w:rPr>
        <w:t>设计阶段</w:t>
      </w:r>
      <w:r>
        <w:rPr>
          <w:rFonts w:cs="Times New Roman"/>
        </w:rPr>
        <w:t>交付内容</w:t>
      </w:r>
      <w:r>
        <w:rPr>
          <w:rFonts w:hint="eastAsia" w:cs="Times New Roman"/>
          <w:lang w:val="en-US" w:eastAsia="zh-CN"/>
        </w:rPr>
        <w:t>类型</w:t>
      </w:r>
      <w:r>
        <w:rPr>
          <w:rFonts w:cs="Times New Roman"/>
        </w:rPr>
        <w:t>不同，划分该阶段</w:t>
      </w:r>
      <w:r>
        <w:rPr>
          <w:rFonts w:hint="eastAsia" w:cs="Times New Roman"/>
          <w:lang w:val="en-US" w:eastAsia="zh-CN"/>
        </w:rPr>
        <w:t>交付内容</w:t>
      </w:r>
      <w:r>
        <w:rPr>
          <w:rFonts w:cs="Times New Roman"/>
        </w:rPr>
        <w:t>为各专业模型构件信息、设计应用成果信息和其他信息。</w:t>
      </w:r>
    </w:p>
    <w:p w14:paraId="4289FE32">
      <w:pPr>
        <w:spacing w:before="156" w:after="156"/>
        <w:ind w:firstLine="0" w:firstLineChars="0"/>
        <w:rPr>
          <w:rFonts w:cs="Times New Roman"/>
        </w:rPr>
      </w:pPr>
      <w:r>
        <w:rPr>
          <w:rFonts w:cs="Times New Roman"/>
          <w:b/>
        </w:rPr>
        <w:t>4.</w:t>
      </w:r>
      <w:r>
        <w:rPr>
          <w:rFonts w:hint="eastAsia" w:cs="Times New Roman"/>
          <w:b/>
        </w:rPr>
        <w:t>3</w:t>
      </w:r>
      <w:r>
        <w:rPr>
          <w:rFonts w:cs="Times New Roman"/>
          <w:b/>
        </w:rPr>
        <w:t xml:space="preserve">.3  </w:t>
      </w:r>
      <w:r>
        <w:rPr>
          <w:rFonts w:cs="Times New Roman"/>
        </w:rPr>
        <w:t>设计阶段</w:t>
      </w:r>
      <w:r>
        <w:rPr>
          <w:rFonts w:hint="eastAsia" w:cs="Times New Roman"/>
          <w:lang w:val="en-US" w:eastAsia="zh-CN"/>
        </w:rPr>
        <w:t>交付内容</w:t>
      </w:r>
      <w:r>
        <w:rPr>
          <w:rFonts w:cs="Times New Roman"/>
        </w:rPr>
        <w:t>组成</w:t>
      </w:r>
      <w:r>
        <w:rPr>
          <w:rFonts w:hint="eastAsia" w:cs="Times New Roman"/>
        </w:rPr>
        <w:t>宜</w:t>
      </w:r>
      <w:r>
        <w:rPr>
          <w:rFonts w:cs="Times New Roman"/>
        </w:rPr>
        <w:t>满足</w:t>
      </w:r>
      <w:r>
        <w:rPr>
          <w:rFonts w:hint="eastAsia" w:cs="Times New Roman"/>
        </w:rPr>
        <w:t>图</w:t>
      </w:r>
      <w:r>
        <w:rPr>
          <w:rFonts w:cs="Times New Roman"/>
          <w:bCs/>
        </w:rPr>
        <w:t>4.</w:t>
      </w:r>
      <w:r>
        <w:rPr>
          <w:rFonts w:hint="eastAsia" w:cs="Times New Roman"/>
          <w:bCs/>
        </w:rPr>
        <w:t>3</w:t>
      </w:r>
      <w:r>
        <w:rPr>
          <w:rFonts w:cs="Times New Roman"/>
          <w:bCs/>
        </w:rPr>
        <w:t>.3</w:t>
      </w:r>
      <w:r>
        <w:rPr>
          <w:rFonts w:cs="Times New Roman"/>
        </w:rPr>
        <w:t>所示要求。</w:t>
      </w:r>
    </w:p>
    <w:p w14:paraId="42E98B6C">
      <w:pPr>
        <w:spacing w:before="156" w:after="156"/>
        <w:ind w:firstLine="0" w:firstLineChars="0"/>
        <w:rPr>
          <w:rFonts w:cs="Times New Roman"/>
        </w:rPr>
      </w:pPr>
      <w:r>
        <w:rPr>
          <w:rFonts w:hint="eastAsia" w:cs="Times New Roman"/>
        </w:rPr>
        <w:drawing>
          <wp:inline distT="0" distB="0" distL="114300" distR="114300">
            <wp:extent cx="5461000" cy="5656580"/>
            <wp:effectExtent l="0" t="0" r="0" b="0"/>
            <wp:docPr id="14" name="图片 14" descr="E:/360MoveData/Users/1/Desktop/设计.png设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360MoveData/Users/1/Desktop/设计.png设计"/>
                    <pic:cNvPicPr>
                      <a:picLocks noChangeAspect="1"/>
                    </pic:cNvPicPr>
                  </pic:nvPicPr>
                  <pic:blipFill>
                    <a:blip r:embed="rId14"/>
                    <a:srcRect l="6" r="6"/>
                    <a:stretch>
                      <a:fillRect/>
                    </a:stretch>
                  </pic:blipFill>
                  <pic:spPr>
                    <a:xfrm>
                      <a:off x="0" y="0"/>
                      <a:ext cx="5461000" cy="5656580"/>
                    </a:xfrm>
                    <a:prstGeom prst="rect">
                      <a:avLst/>
                    </a:prstGeom>
                  </pic:spPr>
                </pic:pic>
              </a:graphicData>
            </a:graphic>
          </wp:inline>
        </w:drawing>
      </w:r>
    </w:p>
    <w:p w14:paraId="14967E1C">
      <w:pPr>
        <w:spacing w:before="156" w:after="156"/>
        <w:ind w:firstLine="0" w:firstLineChars="0"/>
        <w:jc w:val="center"/>
        <w:rPr>
          <w:rFonts w:hint="default" w:eastAsia="宋体" w:cs="Times New Roman"/>
          <w:b/>
          <w:sz w:val="21"/>
          <w:szCs w:val="21"/>
          <w:lang w:val="en-US" w:eastAsia="zh-CN"/>
        </w:rPr>
      </w:pPr>
      <w:r>
        <w:rPr>
          <w:rFonts w:hint="eastAsia" w:cs="Times New Roman"/>
          <w:b/>
          <w:sz w:val="21"/>
          <w:szCs w:val="21"/>
        </w:rPr>
        <w:t>图</w:t>
      </w:r>
      <w:r>
        <w:rPr>
          <w:rFonts w:cs="Times New Roman"/>
          <w:b/>
          <w:sz w:val="21"/>
          <w:szCs w:val="21"/>
        </w:rPr>
        <w:t>4.</w:t>
      </w:r>
      <w:r>
        <w:rPr>
          <w:rFonts w:hint="eastAsia" w:cs="Times New Roman"/>
          <w:b/>
          <w:sz w:val="21"/>
          <w:szCs w:val="21"/>
        </w:rPr>
        <w:t>3</w:t>
      </w:r>
      <w:r>
        <w:rPr>
          <w:rFonts w:cs="Times New Roman"/>
          <w:b/>
          <w:sz w:val="21"/>
          <w:szCs w:val="21"/>
        </w:rPr>
        <w:t>.3 设计</w:t>
      </w:r>
      <w:r>
        <w:rPr>
          <w:rFonts w:hint="eastAsia" w:cs="Times New Roman"/>
          <w:b/>
          <w:sz w:val="21"/>
          <w:szCs w:val="21"/>
        </w:rPr>
        <w:t>阶段</w:t>
      </w:r>
      <w:r>
        <w:rPr>
          <w:rFonts w:hint="eastAsia" w:cs="Times New Roman"/>
          <w:b/>
          <w:sz w:val="21"/>
          <w:szCs w:val="21"/>
          <w:lang w:val="en-US" w:eastAsia="zh-CN"/>
        </w:rPr>
        <w:t>交付内容组成</w:t>
      </w:r>
    </w:p>
    <w:p w14:paraId="6C70C3C6">
      <w:pPr>
        <w:spacing w:before="156" w:after="156"/>
        <w:ind w:firstLine="0" w:firstLineChars="0"/>
        <w:rPr>
          <w:rFonts w:cs="Times New Roman"/>
        </w:rPr>
      </w:pPr>
      <w:r>
        <w:rPr>
          <w:rFonts w:cs="Times New Roman"/>
          <w:b/>
        </w:rPr>
        <w:t>4.</w:t>
      </w:r>
      <w:r>
        <w:rPr>
          <w:rFonts w:hint="eastAsia" w:cs="Times New Roman"/>
          <w:b/>
        </w:rPr>
        <w:t>3</w:t>
      </w:r>
      <w:r>
        <w:rPr>
          <w:rFonts w:cs="Times New Roman"/>
          <w:b/>
        </w:rPr>
        <w:t>.4</w:t>
      </w:r>
      <w:r>
        <w:rPr>
          <w:rFonts w:cs="Times New Roman"/>
        </w:rPr>
        <w:t xml:space="preserve">  </w:t>
      </w:r>
      <w:r>
        <w:rPr>
          <w:rFonts w:hint="eastAsia" w:cs="Times New Roman"/>
        </w:rPr>
        <w:t>设计阶段</w:t>
      </w:r>
      <w:r>
        <w:rPr>
          <w:rFonts w:cs="Times New Roman"/>
        </w:rPr>
        <w:t>各专业模型构件</w:t>
      </w:r>
      <w:r>
        <w:rPr>
          <w:rFonts w:hint="eastAsia" w:cs="Times New Roman"/>
          <w:lang w:val="en-US" w:eastAsia="zh-CN"/>
        </w:rPr>
        <w:t>信息</w:t>
      </w:r>
      <w:r>
        <w:rPr>
          <w:rFonts w:cs="Times New Roman"/>
        </w:rPr>
        <w:t>表项组成</w:t>
      </w:r>
      <w:r>
        <w:rPr>
          <w:rFonts w:hint="eastAsia" w:cs="Times New Roman"/>
        </w:rPr>
        <w:t>宜</w:t>
      </w:r>
      <w:r>
        <w:rPr>
          <w:rFonts w:cs="Times New Roman"/>
        </w:rPr>
        <w:t>按表</w:t>
      </w:r>
      <w:r>
        <w:rPr>
          <w:rFonts w:cs="Times New Roman"/>
          <w:bCs/>
        </w:rPr>
        <w:t>4.</w:t>
      </w:r>
      <w:r>
        <w:rPr>
          <w:rFonts w:hint="eastAsia" w:cs="Times New Roman"/>
          <w:bCs/>
        </w:rPr>
        <w:t>3</w:t>
      </w:r>
      <w:r>
        <w:rPr>
          <w:rFonts w:cs="Times New Roman"/>
          <w:bCs/>
        </w:rPr>
        <w:t>.4</w:t>
      </w:r>
      <w:r>
        <w:rPr>
          <w:rFonts w:cs="Times New Roman"/>
        </w:rPr>
        <w:t>采用。</w:t>
      </w:r>
    </w:p>
    <w:p w14:paraId="3EE05B8C">
      <w:pPr>
        <w:spacing w:before="156" w:after="156"/>
        <w:ind w:firstLine="0" w:firstLineChars="0"/>
        <w:jc w:val="center"/>
        <w:rPr>
          <w:rFonts w:cs="Times New Roman"/>
          <w:b/>
          <w:bCs/>
          <w:color w:val="auto"/>
          <w:sz w:val="21"/>
          <w:szCs w:val="21"/>
        </w:rPr>
      </w:pPr>
      <w:r>
        <w:rPr>
          <w:rFonts w:cs="Times New Roman"/>
          <w:b/>
          <w:bCs/>
          <w:color w:val="auto"/>
          <w:sz w:val="21"/>
          <w:szCs w:val="21"/>
        </w:rPr>
        <w:t>表4.</w:t>
      </w:r>
      <w:r>
        <w:rPr>
          <w:rFonts w:hint="eastAsia" w:cs="Times New Roman"/>
          <w:b/>
          <w:bCs/>
          <w:color w:val="auto"/>
          <w:sz w:val="21"/>
          <w:szCs w:val="21"/>
        </w:rPr>
        <w:t>3</w:t>
      </w:r>
      <w:r>
        <w:rPr>
          <w:rFonts w:cs="Times New Roman"/>
          <w:b/>
          <w:bCs/>
          <w:color w:val="auto"/>
          <w:sz w:val="21"/>
          <w:szCs w:val="21"/>
        </w:rPr>
        <w:t xml:space="preserve">.4 </w:t>
      </w:r>
      <w:r>
        <w:rPr>
          <w:rFonts w:hint="eastAsia" w:cs="Times New Roman"/>
          <w:b/>
          <w:bCs/>
          <w:color w:val="auto"/>
          <w:sz w:val="21"/>
          <w:szCs w:val="21"/>
        </w:rPr>
        <w:t>设计阶段各专业</w:t>
      </w:r>
      <w:r>
        <w:rPr>
          <w:rFonts w:cs="Times New Roman"/>
          <w:b/>
          <w:bCs/>
          <w:color w:val="auto"/>
          <w:sz w:val="21"/>
          <w:szCs w:val="21"/>
        </w:rPr>
        <w:t>模型构件</w:t>
      </w:r>
      <w:r>
        <w:rPr>
          <w:rFonts w:hint="eastAsia" w:cs="Times New Roman"/>
          <w:b/>
          <w:bCs/>
          <w:color w:val="auto"/>
          <w:sz w:val="21"/>
          <w:szCs w:val="21"/>
          <w:lang w:val="en-US" w:eastAsia="zh-CN"/>
        </w:rPr>
        <w:t>信息</w:t>
      </w:r>
      <w:r>
        <w:rPr>
          <w:rFonts w:cs="Times New Roman"/>
          <w:b/>
          <w:bCs/>
          <w:color w:val="auto"/>
          <w:sz w:val="21"/>
          <w:szCs w:val="21"/>
        </w:rPr>
        <w:t>组成</w:t>
      </w:r>
    </w:p>
    <w:tbl>
      <w:tblPr>
        <w:tblStyle w:val="18"/>
        <w:tblW w:w="82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
        <w:gridCol w:w="1765"/>
        <w:gridCol w:w="5607"/>
      </w:tblGrid>
      <w:tr w14:paraId="0A704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4024E6FF">
            <w:pPr>
              <w:adjustRightInd w:val="0"/>
              <w:snapToGrid w:val="0"/>
              <w:spacing w:before="156" w:after="156" w:line="24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序号</w:t>
            </w:r>
          </w:p>
        </w:tc>
        <w:tc>
          <w:tcPr>
            <w:tcW w:w="1765" w:type="dxa"/>
            <w:vAlign w:val="center"/>
          </w:tcPr>
          <w:p w14:paraId="62BE9602">
            <w:pPr>
              <w:adjustRightInd w:val="0"/>
              <w:snapToGrid w:val="0"/>
              <w:spacing w:before="156" w:after="156" w:line="240" w:lineRule="auto"/>
              <w:ind w:firstLine="0" w:firstLineChars="0"/>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信息表项</w:t>
            </w:r>
          </w:p>
        </w:tc>
        <w:tc>
          <w:tcPr>
            <w:tcW w:w="5607" w:type="dxa"/>
            <w:vAlign w:val="center"/>
          </w:tcPr>
          <w:p w14:paraId="448DAE9B">
            <w:pPr>
              <w:adjustRightInd w:val="0"/>
              <w:snapToGrid w:val="0"/>
              <w:spacing w:before="156" w:after="156" w:line="24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模型构件</w:t>
            </w:r>
            <w:r>
              <w:rPr>
                <w:rFonts w:hint="eastAsia" w:ascii="宋体" w:hAnsi="宋体" w:cs="宋体"/>
                <w:color w:val="auto"/>
                <w:sz w:val="21"/>
                <w:szCs w:val="21"/>
                <w:lang w:val="en-US" w:eastAsia="zh-CN"/>
              </w:rPr>
              <w:t>信息</w:t>
            </w:r>
            <w:r>
              <w:rPr>
                <w:rFonts w:hint="eastAsia" w:ascii="宋体" w:hAnsi="宋体" w:cs="宋体"/>
                <w:color w:val="auto"/>
                <w:sz w:val="21"/>
                <w:szCs w:val="21"/>
              </w:rPr>
              <w:t>组成</w:t>
            </w:r>
          </w:p>
        </w:tc>
      </w:tr>
      <w:tr w14:paraId="6A6CD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shd w:val="clear" w:color="auto" w:fill="auto"/>
            <w:vAlign w:val="center"/>
          </w:tcPr>
          <w:p w14:paraId="11943D13">
            <w:pPr>
              <w:adjustRightInd w:val="0"/>
              <w:snapToGrid w:val="0"/>
              <w:spacing w:before="156" w:after="156" w:line="24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1</w:t>
            </w:r>
          </w:p>
        </w:tc>
        <w:tc>
          <w:tcPr>
            <w:tcW w:w="1765" w:type="dxa"/>
            <w:shd w:val="clear" w:color="auto" w:fill="auto"/>
            <w:vAlign w:val="center"/>
          </w:tcPr>
          <w:p w14:paraId="7EF7B599">
            <w:pPr>
              <w:adjustRightInd w:val="0"/>
              <w:snapToGrid w:val="0"/>
              <w:spacing w:before="156" w:after="156" w:line="24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场地信息模型</w:t>
            </w:r>
          </w:p>
        </w:tc>
        <w:tc>
          <w:tcPr>
            <w:tcW w:w="5607" w:type="dxa"/>
            <w:shd w:val="clear" w:color="auto" w:fill="auto"/>
            <w:vAlign w:val="center"/>
          </w:tcPr>
          <w:p w14:paraId="7FFEBB85">
            <w:pPr>
              <w:adjustRightInd w:val="0"/>
              <w:snapToGrid w:val="0"/>
              <w:spacing w:before="156" w:after="156" w:line="240" w:lineRule="auto"/>
              <w:ind w:firstLine="0" w:firstLineChars="0"/>
              <w:jc w:val="left"/>
              <w:rPr>
                <w:rFonts w:hint="eastAsia" w:ascii="宋体" w:hAnsi="宋体" w:cs="宋体"/>
                <w:color w:val="auto"/>
                <w:sz w:val="21"/>
                <w:szCs w:val="21"/>
              </w:rPr>
            </w:pPr>
            <w:r>
              <w:rPr>
                <w:rFonts w:hint="eastAsia" w:ascii="宋体" w:hAnsi="宋体" w:cs="宋体"/>
                <w:color w:val="auto"/>
                <w:sz w:val="21"/>
                <w:szCs w:val="21"/>
              </w:rPr>
              <w:t>总用地控制、建设用地控制线、钉桩坐标、地上建筑物退让用地边界、地下建筑物退让用地边界、沿街骑楼形式建筑退线、</w:t>
            </w:r>
            <w:r>
              <w:rPr>
                <w:rFonts w:hint="eastAsia" w:ascii="宋体" w:hAnsi="宋体" w:cs="宋体"/>
                <w:color w:val="auto"/>
                <w:sz w:val="21"/>
                <w:szCs w:val="21"/>
                <w:lang w:eastAsia="zh-CN"/>
              </w:rPr>
              <w:t>其他地下</w:t>
            </w:r>
            <w:r>
              <w:rPr>
                <w:rFonts w:hint="eastAsia" w:ascii="宋体" w:hAnsi="宋体" w:cs="宋体"/>
                <w:color w:val="auto"/>
                <w:sz w:val="21"/>
                <w:szCs w:val="21"/>
              </w:rPr>
              <w:t>构筑物、管井、管沟退线、道路中心线、道路边界线围合面域、架空通廊边界线围合面域、地上机动车停车泊位边界线围合面域、地上机动车停车泊位面域内机动车位排布、地下机动车停车泊位边界线围合面域、地下机动车停车泊位面域内机动车位排布、半地下机动车停车泊位边界线围合面域、半地下机动车停车泊位面域内机动车位排布、非机动车停车泊位界线围合面域、建筑单体插入点坐标、建筑单体导入旋转角度、建筑单体占地轮廓线等场地模型信息</w:t>
            </w:r>
          </w:p>
        </w:tc>
      </w:tr>
      <w:tr w14:paraId="57F2F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shd w:val="clear" w:color="auto" w:fill="auto"/>
            <w:vAlign w:val="center"/>
          </w:tcPr>
          <w:p w14:paraId="6B925F0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765" w:type="dxa"/>
            <w:shd w:val="clear" w:color="auto" w:fill="auto"/>
            <w:vAlign w:val="center"/>
          </w:tcPr>
          <w:p w14:paraId="695539C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建筑模型信息</w:t>
            </w:r>
          </w:p>
        </w:tc>
        <w:tc>
          <w:tcPr>
            <w:tcW w:w="5607" w:type="dxa"/>
            <w:shd w:val="clear" w:color="auto" w:fill="auto"/>
            <w:vAlign w:val="center"/>
          </w:tcPr>
          <w:p w14:paraId="05959E9F">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建筑墙、楼板、建筑柱、栏杆/栏板、建筑楼梯、阳台、雨篷、门、洞口、窗、坡屋顶、平屋顶、台阶、机动车停车位、坡道等构件信息</w:t>
            </w:r>
          </w:p>
        </w:tc>
      </w:tr>
      <w:tr w14:paraId="73066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1EF11E6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1765" w:type="dxa"/>
            <w:vAlign w:val="center"/>
          </w:tcPr>
          <w:p w14:paraId="232862E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结构模型信息（现浇钢筋混凝土）</w:t>
            </w:r>
          </w:p>
        </w:tc>
        <w:tc>
          <w:tcPr>
            <w:tcW w:w="5607" w:type="dxa"/>
            <w:vAlign w:val="center"/>
          </w:tcPr>
          <w:p w14:paraId="5F664F8B">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独立基础、条形基础、垫层、桩承台、桩基础、基础梁、基础底板、地下围护墙和基坑支护桩、梁、结构柱、斜杆、结构墙、结构板、悬挑板、结构楼梯等构件信息</w:t>
            </w:r>
          </w:p>
        </w:tc>
      </w:tr>
      <w:tr w14:paraId="178ED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56AB939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1765" w:type="dxa"/>
            <w:vAlign w:val="center"/>
          </w:tcPr>
          <w:p w14:paraId="0F4A16E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结构模型信息（装配式混凝土结构）</w:t>
            </w:r>
          </w:p>
        </w:tc>
        <w:tc>
          <w:tcPr>
            <w:tcW w:w="5607" w:type="dxa"/>
            <w:vAlign w:val="center"/>
          </w:tcPr>
          <w:p w14:paraId="285D1F84">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预制梁/叠合梁、预制柱、预制墙体、预制叠合板、预制楼梯和其他预制构件等构件信息</w:t>
            </w:r>
          </w:p>
        </w:tc>
      </w:tr>
      <w:tr w14:paraId="2671A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5E4E240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1765" w:type="dxa"/>
            <w:vAlign w:val="center"/>
          </w:tcPr>
          <w:p w14:paraId="76C97F0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结构模型信息（钢结构）</w:t>
            </w:r>
          </w:p>
        </w:tc>
        <w:tc>
          <w:tcPr>
            <w:tcW w:w="5607" w:type="dxa"/>
            <w:vAlign w:val="center"/>
          </w:tcPr>
          <w:p w14:paraId="2B1A2E5E">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钢梁、钢柱、钢桁架、钢网架、钢檩条、拉索、膜、钢支撑、钢结构连接节点和钢结构连接附件等构件信息</w:t>
            </w:r>
          </w:p>
        </w:tc>
      </w:tr>
      <w:tr w14:paraId="695BD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701F366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1765" w:type="dxa"/>
            <w:vAlign w:val="center"/>
          </w:tcPr>
          <w:p w14:paraId="787739D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给排水模型</w:t>
            </w:r>
          </w:p>
          <w:p w14:paraId="10F2523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5607" w:type="dxa"/>
            <w:vAlign w:val="center"/>
          </w:tcPr>
          <w:p w14:paraId="3B488D27">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给排水水管、给排水水管连接件、给排水消防水箱、给排水组合消火栓箱、给排水消火栓、给排水水泵接合器和给排水消防喷头等构件信息</w:t>
            </w:r>
          </w:p>
        </w:tc>
      </w:tr>
      <w:tr w14:paraId="0103E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03A47C50">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7</w:t>
            </w:r>
          </w:p>
        </w:tc>
        <w:tc>
          <w:tcPr>
            <w:tcW w:w="1765" w:type="dxa"/>
            <w:vAlign w:val="center"/>
          </w:tcPr>
          <w:p w14:paraId="5841AF9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电气模型信息</w:t>
            </w:r>
          </w:p>
        </w:tc>
        <w:tc>
          <w:tcPr>
            <w:tcW w:w="5607" w:type="dxa"/>
            <w:vAlign w:val="center"/>
          </w:tcPr>
          <w:p w14:paraId="6AF9822D">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电气总体、机电楼层、机电管道、机电管道连接件、机电发电设备、机电用电设备、智能化设备、线缆、线缆桥架、线缆敷设配件等构件信息、机电构件与楼层关联关系信息和机电连接关系信息</w:t>
            </w:r>
          </w:p>
        </w:tc>
      </w:tr>
      <w:tr w14:paraId="73D3F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0DED873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8</w:t>
            </w:r>
          </w:p>
        </w:tc>
        <w:tc>
          <w:tcPr>
            <w:tcW w:w="1765" w:type="dxa"/>
            <w:vAlign w:val="center"/>
          </w:tcPr>
          <w:p w14:paraId="6C69368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暖通模型信息</w:t>
            </w:r>
          </w:p>
        </w:tc>
        <w:tc>
          <w:tcPr>
            <w:tcW w:w="5607" w:type="dxa"/>
            <w:vAlign w:val="center"/>
          </w:tcPr>
          <w:p w14:paraId="1B5DAD74">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暖通风管、暖通风机、暖通风口、暖通组合空调机组和暖通组合空调机组单元等构件信息</w:t>
            </w:r>
          </w:p>
        </w:tc>
      </w:tr>
      <w:tr w14:paraId="11F41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25282D0E">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9</w:t>
            </w:r>
          </w:p>
        </w:tc>
        <w:tc>
          <w:tcPr>
            <w:tcW w:w="1765" w:type="dxa"/>
            <w:vAlign w:val="center"/>
          </w:tcPr>
          <w:p w14:paraId="1155322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园林景观</w:t>
            </w:r>
          </w:p>
          <w:p w14:paraId="0C71C14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模型信息</w:t>
            </w:r>
          </w:p>
        </w:tc>
        <w:tc>
          <w:tcPr>
            <w:tcW w:w="5607" w:type="dxa"/>
            <w:vAlign w:val="center"/>
          </w:tcPr>
          <w:p w14:paraId="030FD892">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景观与绿化总体、植被、树池、树坑板和景观小品等构件信息</w:t>
            </w:r>
          </w:p>
        </w:tc>
      </w:tr>
      <w:tr w14:paraId="1CD3E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924" w:type="dxa"/>
            <w:vAlign w:val="center"/>
          </w:tcPr>
          <w:p w14:paraId="5C823F4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10</w:t>
            </w:r>
          </w:p>
        </w:tc>
        <w:tc>
          <w:tcPr>
            <w:tcW w:w="1765" w:type="dxa"/>
            <w:vAlign w:val="center"/>
          </w:tcPr>
          <w:p w14:paraId="0BC17A9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装饰装修</w:t>
            </w:r>
          </w:p>
          <w:p w14:paraId="1889458E">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模型信息</w:t>
            </w:r>
          </w:p>
        </w:tc>
        <w:tc>
          <w:tcPr>
            <w:tcW w:w="5607" w:type="dxa"/>
            <w:vAlign w:val="center"/>
          </w:tcPr>
          <w:p w14:paraId="653E29BB">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装饰装修工程总体、基本构件、连接构件、设备电器等构件信息、构件与空间关联信息</w:t>
            </w:r>
          </w:p>
        </w:tc>
      </w:tr>
      <w:tr w14:paraId="69B85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24" w:type="dxa"/>
            <w:vAlign w:val="center"/>
          </w:tcPr>
          <w:p w14:paraId="074FA22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11</w:t>
            </w:r>
          </w:p>
        </w:tc>
        <w:tc>
          <w:tcPr>
            <w:tcW w:w="1765" w:type="dxa"/>
            <w:vAlign w:val="center"/>
          </w:tcPr>
          <w:p w14:paraId="150C083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幕墙模型信息</w:t>
            </w:r>
          </w:p>
        </w:tc>
        <w:tc>
          <w:tcPr>
            <w:tcW w:w="5607" w:type="dxa"/>
            <w:vAlign w:val="center"/>
          </w:tcPr>
          <w:p w14:paraId="09A3BDE3">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嵌板、主要支撑构件、配件等构件信息</w:t>
            </w:r>
          </w:p>
        </w:tc>
      </w:tr>
      <w:tr w14:paraId="0D440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24" w:type="dxa"/>
            <w:vAlign w:val="center"/>
          </w:tcPr>
          <w:p w14:paraId="611872F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12</w:t>
            </w:r>
          </w:p>
        </w:tc>
        <w:tc>
          <w:tcPr>
            <w:tcW w:w="1765" w:type="dxa"/>
            <w:vAlign w:val="center"/>
          </w:tcPr>
          <w:p w14:paraId="01FF984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其他模型信息</w:t>
            </w:r>
          </w:p>
        </w:tc>
        <w:tc>
          <w:tcPr>
            <w:tcW w:w="5607" w:type="dxa"/>
          </w:tcPr>
          <w:p w14:paraId="4581526D">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设计阶段需补充的其他模型、构件信息</w:t>
            </w:r>
          </w:p>
        </w:tc>
      </w:tr>
    </w:tbl>
    <w:p w14:paraId="057732D7">
      <w:pPr>
        <w:spacing w:before="156" w:after="156"/>
        <w:ind w:firstLine="0" w:firstLineChars="0"/>
        <w:rPr>
          <w:rFonts w:cs="Times New Roman"/>
          <w:bCs/>
        </w:rPr>
      </w:pPr>
      <w:r>
        <w:rPr>
          <w:rFonts w:cs="Times New Roman"/>
          <w:b/>
        </w:rPr>
        <w:t>4.</w:t>
      </w:r>
      <w:r>
        <w:rPr>
          <w:rFonts w:hint="eastAsia" w:cs="Times New Roman"/>
          <w:b/>
        </w:rPr>
        <w:t>3</w:t>
      </w:r>
      <w:r>
        <w:rPr>
          <w:rFonts w:cs="Times New Roman"/>
          <w:b/>
        </w:rPr>
        <w:t>.5</w:t>
      </w:r>
      <w:r>
        <w:rPr>
          <w:rFonts w:cs="Times New Roman"/>
          <w:bCs/>
        </w:rPr>
        <w:t xml:space="preserve">  设计</w:t>
      </w:r>
      <w:r>
        <w:rPr>
          <w:rFonts w:hint="eastAsia" w:cs="Times New Roman"/>
          <w:bCs/>
        </w:rPr>
        <w:t>阶段</w:t>
      </w:r>
      <w:r>
        <w:rPr>
          <w:rFonts w:cs="Times New Roman"/>
          <w:bCs/>
        </w:rPr>
        <w:t>应用成果</w:t>
      </w:r>
      <w:r>
        <w:rPr>
          <w:rFonts w:hint="eastAsia" w:cs="Times New Roman"/>
          <w:bCs/>
          <w:lang w:val="en-US" w:eastAsia="zh-CN"/>
        </w:rPr>
        <w:t>信息</w:t>
      </w:r>
      <w:r>
        <w:rPr>
          <w:rFonts w:cs="Times New Roman"/>
          <w:bCs/>
        </w:rPr>
        <w:t>表项组成</w:t>
      </w:r>
      <w:r>
        <w:rPr>
          <w:rFonts w:hint="eastAsia" w:cs="Times New Roman"/>
          <w:bCs/>
        </w:rPr>
        <w:t>宜</w:t>
      </w:r>
      <w:r>
        <w:rPr>
          <w:rFonts w:cs="Times New Roman"/>
          <w:bCs/>
        </w:rPr>
        <w:t>按表4.</w:t>
      </w:r>
      <w:r>
        <w:rPr>
          <w:rFonts w:hint="eastAsia" w:cs="Times New Roman"/>
          <w:bCs/>
        </w:rPr>
        <w:t>3</w:t>
      </w:r>
      <w:r>
        <w:rPr>
          <w:rFonts w:cs="Times New Roman"/>
          <w:bCs/>
        </w:rPr>
        <w:t>.5采用</w:t>
      </w:r>
      <w:r>
        <w:rPr>
          <w:rFonts w:hint="eastAsia" w:cs="Times New Roman"/>
          <w:bCs/>
        </w:rPr>
        <w:t>。</w:t>
      </w:r>
    </w:p>
    <w:p w14:paraId="48E60399">
      <w:pPr>
        <w:spacing w:before="156" w:after="156"/>
        <w:ind w:firstLine="422"/>
        <w:jc w:val="center"/>
        <w:rPr>
          <w:rFonts w:cs="Times New Roman"/>
          <w:b/>
          <w:bCs/>
          <w:sz w:val="21"/>
          <w:szCs w:val="21"/>
        </w:rPr>
      </w:pPr>
      <w:r>
        <w:rPr>
          <w:rFonts w:cs="Times New Roman"/>
          <w:b/>
          <w:bCs/>
          <w:sz w:val="21"/>
          <w:szCs w:val="21"/>
        </w:rPr>
        <w:t>表4.</w:t>
      </w:r>
      <w:r>
        <w:rPr>
          <w:rFonts w:hint="eastAsia" w:cs="Times New Roman"/>
          <w:b/>
          <w:bCs/>
          <w:sz w:val="21"/>
          <w:szCs w:val="21"/>
        </w:rPr>
        <w:t>3</w:t>
      </w:r>
      <w:r>
        <w:rPr>
          <w:rFonts w:cs="Times New Roman"/>
          <w:b/>
          <w:bCs/>
          <w:sz w:val="21"/>
          <w:szCs w:val="21"/>
        </w:rPr>
        <w:t>.5 设计</w:t>
      </w:r>
      <w:r>
        <w:rPr>
          <w:rFonts w:hint="eastAsia" w:cs="Times New Roman"/>
          <w:b/>
          <w:bCs/>
          <w:sz w:val="21"/>
          <w:szCs w:val="21"/>
        </w:rPr>
        <w:t>阶段</w:t>
      </w:r>
      <w:r>
        <w:rPr>
          <w:rFonts w:cs="Times New Roman"/>
          <w:b/>
          <w:bCs/>
          <w:sz w:val="21"/>
          <w:szCs w:val="21"/>
        </w:rPr>
        <w:t>应用成果</w:t>
      </w:r>
      <w:r>
        <w:rPr>
          <w:rFonts w:hint="eastAsia" w:cs="Times New Roman"/>
          <w:b/>
          <w:bCs/>
          <w:sz w:val="21"/>
          <w:szCs w:val="21"/>
          <w:lang w:val="en-US" w:eastAsia="zh-CN"/>
        </w:rPr>
        <w:t>信息</w:t>
      </w:r>
      <w:r>
        <w:rPr>
          <w:rFonts w:cs="Times New Roman"/>
          <w:b/>
          <w:bCs/>
          <w:sz w:val="21"/>
          <w:szCs w:val="21"/>
        </w:rPr>
        <w:t>组成</w:t>
      </w:r>
    </w:p>
    <w:tbl>
      <w:tblPr>
        <w:tblStyle w:val="18"/>
        <w:tblW w:w="8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456"/>
        <w:gridCol w:w="75"/>
        <w:gridCol w:w="1187"/>
        <w:gridCol w:w="5691"/>
      </w:tblGrid>
      <w:tr w14:paraId="7530F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112" w:type="dxa"/>
            <w:vAlign w:val="center"/>
          </w:tcPr>
          <w:p w14:paraId="3B24E5D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1718" w:type="dxa"/>
            <w:gridSpan w:val="3"/>
            <w:vAlign w:val="center"/>
          </w:tcPr>
          <w:p w14:paraId="11923A1B">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信息表项</w:t>
            </w:r>
          </w:p>
        </w:tc>
        <w:tc>
          <w:tcPr>
            <w:tcW w:w="5691" w:type="dxa"/>
            <w:vAlign w:val="center"/>
          </w:tcPr>
          <w:p w14:paraId="31CBDED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应用成果</w:t>
            </w:r>
            <w:r>
              <w:rPr>
                <w:rFonts w:hint="eastAsia" w:ascii="宋体" w:hAnsi="宋体" w:cs="宋体"/>
                <w:sz w:val="21"/>
                <w:szCs w:val="21"/>
                <w:lang w:val="en-US" w:eastAsia="zh-CN"/>
              </w:rPr>
              <w:t>信息</w:t>
            </w:r>
            <w:r>
              <w:rPr>
                <w:rFonts w:hint="eastAsia" w:ascii="宋体" w:hAnsi="宋体" w:cs="宋体"/>
                <w:sz w:val="21"/>
                <w:szCs w:val="21"/>
              </w:rPr>
              <w:t>组成</w:t>
            </w:r>
          </w:p>
        </w:tc>
      </w:tr>
      <w:tr w14:paraId="043DA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112" w:type="dxa"/>
            <w:vMerge w:val="restart"/>
            <w:vAlign w:val="center"/>
          </w:tcPr>
          <w:p w14:paraId="729EA26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456" w:type="dxa"/>
            <w:vMerge w:val="restart"/>
            <w:tcBorders>
              <w:right w:val="single" w:color="auto" w:sz="4" w:space="0"/>
            </w:tcBorders>
            <w:vAlign w:val="center"/>
          </w:tcPr>
          <w:p w14:paraId="4AC90EE0">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总平面设计信息</w:t>
            </w:r>
          </w:p>
        </w:tc>
        <w:tc>
          <w:tcPr>
            <w:tcW w:w="1262" w:type="dxa"/>
            <w:gridSpan w:val="2"/>
            <w:tcBorders>
              <w:left w:val="single" w:color="auto" w:sz="4" w:space="0"/>
            </w:tcBorders>
            <w:vAlign w:val="center"/>
          </w:tcPr>
          <w:p w14:paraId="1E4C8FE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建筑用地信息</w:t>
            </w:r>
          </w:p>
        </w:tc>
        <w:tc>
          <w:tcPr>
            <w:tcW w:w="5691" w:type="dxa"/>
            <w:vAlign w:val="center"/>
          </w:tcPr>
          <w:p w14:paraId="7A39534D">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分区用地名称、地块编号、用地性质、规划条件容积率、规划条件绿地率、保留室外自走式机动车数量、保留室外机械式机动车数量、保留室外非机动车面积（㎡）、保留室外装卸车位数量、保留室外大巴车位数量、保留室外出租车位数量、保留室外无障碍车位</w:t>
            </w:r>
            <w:r>
              <w:rPr>
                <w:rFonts w:hint="eastAsia" w:ascii="宋体" w:hAnsi="宋体" w:cs="宋体"/>
                <w:sz w:val="21"/>
                <w:szCs w:val="21"/>
                <w:lang w:eastAsia="zh-CN"/>
              </w:rPr>
              <w:t>数量</w:t>
            </w:r>
            <w:r>
              <w:rPr>
                <w:rFonts w:hint="eastAsia" w:ascii="宋体" w:hAnsi="宋体" w:cs="宋体"/>
                <w:sz w:val="21"/>
                <w:szCs w:val="21"/>
              </w:rPr>
              <w:t>、保留室外车位充电桩数量</w:t>
            </w:r>
          </w:p>
        </w:tc>
      </w:tr>
      <w:tr w14:paraId="5B37F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vMerge w:val="continue"/>
            <w:vAlign w:val="center"/>
          </w:tcPr>
          <w:p w14:paraId="4D61217E">
            <w:pPr>
              <w:adjustRightInd w:val="0"/>
              <w:snapToGrid w:val="0"/>
              <w:spacing w:before="156" w:after="156" w:line="240" w:lineRule="auto"/>
              <w:ind w:firstLine="0" w:firstLineChars="0"/>
              <w:jc w:val="center"/>
              <w:rPr>
                <w:rFonts w:hint="eastAsia" w:ascii="宋体" w:hAnsi="宋体" w:cs="宋体"/>
                <w:sz w:val="21"/>
                <w:szCs w:val="21"/>
              </w:rPr>
            </w:pPr>
          </w:p>
        </w:tc>
        <w:tc>
          <w:tcPr>
            <w:tcW w:w="456" w:type="dxa"/>
            <w:vMerge w:val="continue"/>
            <w:tcBorders>
              <w:right w:val="single" w:color="auto" w:sz="4" w:space="0"/>
            </w:tcBorders>
            <w:vAlign w:val="center"/>
          </w:tcPr>
          <w:p w14:paraId="224EB1CC">
            <w:pPr>
              <w:adjustRightInd w:val="0"/>
              <w:snapToGrid w:val="0"/>
              <w:spacing w:before="156" w:after="156" w:line="240" w:lineRule="auto"/>
              <w:ind w:firstLine="0" w:firstLineChars="0"/>
              <w:jc w:val="center"/>
              <w:rPr>
                <w:rFonts w:hint="eastAsia" w:ascii="宋体" w:hAnsi="宋体" w:cs="宋体"/>
                <w:sz w:val="21"/>
                <w:szCs w:val="21"/>
              </w:rPr>
            </w:pPr>
          </w:p>
        </w:tc>
        <w:tc>
          <w:tcPr>
            <w:tcW w:w="1262" w:type="dxa"/>
            <w:gridSpan w:val="2"/>
            <w:tcBorders>
              <w:left w:val="single" w:color="auto" w:sz="4" w:space="0"/>
            </w:tcBorders>
            <w:vAlign w:val="center"/>
          </w:tcPr>
          <w:p w14:paraId="40079C7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用地红线信息</w:t>
            </w:r>
          </w:p>
        </w:tc>
        <w:tc>
          <w:tcPr>
            <w:tcW w:w="5691" w:type="dxa"/>
            <w:vAlign w:val="center"/>
          </w:tcPr>
          <w:p w14:paraId="7F0AC517">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唯一标识码、赋值类型、界线类型、分区用地名称、绿地类型、绿地面积（㎡）</w:t>
            </w:r>
          </w:p>
        </w:tc>
      </w:tr>
      <w:tr w14:paraId="7C817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vMerge w:val="continue"/>
            <w:vAlign w:val="center"/>
          </w:tcPr>
          <w:p w14:paraId="0DD3A360">
            <w:pPr>
              <w:adjustRightInd w:val="0"/>
              <w:snapToGrid w:val="0"/>
              <w:spacing w:before="156" w:after="156" w:line="240" w:lineRule="auto"/>
              <w:ind w:firstLine="0" w:firstLineChars="0"/>
              <w:jc w:val="center"/>
              <w:rPr>
                <w:rFonts w:hint="eastAsia" w:ascii="宋体" w:hAnsi="宋体" w:cs="宋体"/>
                <w:sz w:val="21"/>
                <w:szCs w:val="21"/>
              </w:rPr>
            </w:pPr>
          </w:p>
        </w:tc>
        <w:tc>
          <w:tcPr>
            <w:tcW w:w="456" w:type="dxa"/>
            <w:vMerge w:val="continue"/>
            <w:tcBorders>
              <w:right w:val="single" w:color="auto" w:sz="4" w:space="0"/>
            </w:tcBorders>
            <w:vAlign w:val="center"/>
          </w:tcPr>
          <w:p w14:paraId="0B2F41BE">
            <w:pPr>
              <w:adjustRightInd w:val="0"/>
              <w:snapToGrid w:val="0"/>
              <w:spacing w:before="156" w:after="156" w:line="240" w:lineRule="auto"/>
              <w:ind w:firstLine="0" w:firstLineChars="0"/>
              <w:jc w:val="center"/>
              <w:rPr>
                <w:rFonts w:hint="eastAsia" w:ascii="宋体" w:hAnsi="宋体" w:cs="宋体"/>
                <w:sz w:val="21"/>
                <w:szCs w:val="21"/>
              </w:rPr>
            </w:pPr>
          </w:p>
        </w:tc>
        <w:tc>
          <w:tcPr>
            <w:tcW w:w="1262" w:type="dxa"/>
            <w:gridSpan w:val="2"/>
            <w:tcBorders>
              <w:left w:val="single" w:color="auto" w:sz="4" w:space="0"/>
            </w:tcBorders>
            <w:vAlign w:val="center"/>
          </w:tcPr>
          <w:p w14:paraId="2EF9BB6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绿化用地信息</w:t>
            </w:r>
          </w:p>
        </w:tc>
        <w:tc>
          <w:tcPr>
            <w:tcW w:w="5691" w:type="dxa"/>
            <w:vAlign w:val="center"/>
          </w:tcPr>
          <w:p w14:paraId="3D979D7C">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唯一标识码、分区用地名称、绿地类型、绿地面积（㎡）</w:t>
            </w:r>
          </w:p>
        </w:tc>
      </w:tr>
      <w:tr w14:paraId="6A193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vMerge w:val="continue"/>
            <w:vAlign w:val="center"/>
          </w:tcPr>
          <w:p w14:paraId="0EEF44FC">
            <w:pPr>
              <w:adjustRightInd w:val="0"/>
              <w:snapToGrid w:val="0"/>
              <w:spacing w:before="156" w:after="156" w:line="240" w:lineRule="auto"/>
              <w:ind w:firstLine="0" w:firstLineChars="0"/>
              <w:jc w:val="center"/>
              <w:rPr>
                <w:rFonts w:hint="eastAsia" w:ascii="宋体" w:hAnsi="宋体" w:cs="宋体"/>
                <w:sz w:val="21"/>
                <w:szCs w:val="21"/>
              </w:rPr>
            </w:pPr>
          </w:p>
        </w:tc>
        <w:tc>
          <w:tcPr>
            <w:tcW w:w="456" w:type="dxa"/>
            <w:vMerge w:val="continue"/>
            <w:tcBorders>
              <w:right w:val="single" w:color="auto" w:sz="4" w:space="0"/>
            </w:tcBorders>
            <w:vAlign w:val="center"/>
          </w:tcPr>
          <w:p w14:paraId="0C3626D5">
            <w:pPr>
              <w:adjustRightInd w:val="0"/>
              <w:snapToGrid w:val="0"/>
              <w:spacing w:before="156" w:after="156" w:line="240" w:lineRule="auto"/>
              <w:ind w:firstLine="0" w:firstLineChars="0"/>
              <w:jc w:val="center"/>
              <w:rPr>
                <w:rFonts w:hint="eastAsia" w:ascii="宋体" w:hAnsi="宋体" w:cs="宋体"/>
                <w:sz w:val="21"/>
                <w:szCs w:val="21"/>
              </w:rPr>
            </w:pPr>
          </w:p>
        </w:tc>
        <w:tc>
          <w:tcPr>
            <w:tcW w:w="1262" w:type="dxa"/>
            <w:gridSpan w:val="2"/>
            <w:tcBorders>
              <w:left w:val="single" w:color="auto" w:sz="4" w:space="0"/>
            </w:tcBorders>
            <w:vAlign w:val="center"/>
          </w:tcPr>
          <w:p w14:paraId="147C5E1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建筑退让信息</w:t>
            </w:r>
          </w:p>
        </w:tc>
        <w:tc>
          <w:tcPr>
            <w:tcW w:w="5691" w:type="dxa"/>
            <w:vAlign w:val="center"/>
          </w:tcPr>
          <w:p w14:paraId="023298B6">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唯一标识码、界线类型、道路宽度、河道蓝线、保护区类型、电压等级、电缆位置</w:t>
            </w:r>
          </w:p>
        </w:tc>
      </w:tr>
      <w:tr w14:paraId="5DABB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646DBBEF">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718" w:type="dxa"/>
            <w:gridSpan w:val="3"/>
            <w:shd w:val="clear" w:color="auto" w:fill="auto"/>
            <w:vAlign w:val="center"/>
          </w:tcPr>
          <w:p w14:paraId="60CFA5CD">
            <w:pPr>
              <w:pStyle w:val="7"/>
              <w:spacing w:before="156" w:after="156"/>
              <w:ind w:firstLine="0" w:firstLineChars="0"/>
              <w:jc w:val="center"/>
              <w:rPr>
                <w:rFonts w:hint="eastAsia" w:ascii="宋体" w:hAnsi="宋体" w:cs="宋体"/>
                <w:sz w:val="21"/>
                <w:szCs w:val="21"/>
              </w:rPr>
            </w:pPr>
            <w:r>
              <w:rPr>
                <w:rFonts w:hint="eastAsia" w:ascii="宋体" w:hAnsi="宋体" w:cs="宋体"/>
                <w:sz w:val="21"/>
                <w:szCs w:val="21"/>
              </w:rPr>
              <w:t>场地设计信息</w:t>
            </w:r>
          </w:p>
        </w:tc>
        <w:tc>
          <w:tcPr>
            <w:tcW w:w="5691" w:type="dxa"/>
            <w:shd w:val="clear" w:color="auto" w:fill="auto"/>
            <w:vAlign w:val="center"/>
          </w:tcPr>
          <w:p w14:paraId="19188B7B">
            <w:pPr>
              <w:pStyle w:val="7"/>
              <w:spacing w:before="156" w:after="156"/>
              <w:ind w:firstLine="0" w:firstLineChars="0"/>
              <w:jc w:val="both"/>
              <w:rPr>
                <w:rFonts w:hint="eastAsia" w:ascii="宋体" w:hAnsi="宋体" w:cs="宋体"/>
                <w:sz w:val="21"/>
                <w:szCs w:val="21"/>
              </w:rPr>
            </w:pPr>
            <w:r>
              <w:rPr>
                <w:rFonts w:hint="eastAsia" w:ascii="宋体" w:hAnsi="宋体" w:cs="宋体"/>
                <w:sz w:val="21"/>
                <w:szCs w:val="21"/>
              </w:rPr>
              <w:t>唯一标识码、编码、场地分区名称、场地位置、场地分区区域面积（㎡）、分区描述、最大长度（mm）、最大宽度（mm）、备注</w:t>
            </w:r>
          </w:p>
        </w:tc>
      </w:tr>
      <w:tr w14:paraId="6A4EA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restart"/>
            <w:shd w:val="clear" w:color="auto" w:fill="auto"/>
            <w:vAlign w:val="center"/>
          </w:tcPr>
          <w:p w14:paraId="1FB0CCC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531" w:type="dxa"/>
            <w:gridSpan w:val="2"/>
            <w:vMerge w:val="restart"/>
            <w:shd w:val="clear" w:color="auto" w:fill="auto"/>
            <w:vAlign w:val="center"/>
          </w:tcPr>
          <w:p w14:paraId="5CAC724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单体建筑计算结果信息</w:t>
            </w:r>
          </w:p>
        </w:tc>
        <w:tc>
          <w:tcPr>
            <w:tcW w:w="1187" w:type="dxa"/>
            <w:shd w:val="clear" w:color="auto" w:fill="auto"/>
            <w:vAlign w:val="center"/>
          </w:tcPr>
          <w:p w14:paraId="5EA8663B">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单体建筑基本信息</w:t>
            </w:r>
          </w:p>
        </w:tc>
        <w:tc>
          <w:tcPr>
            <w:tcW w:w="5691" w:type="dxa"/>
            <w:shd w:val="clear" w:color="auto" w:fill="auto"/>
            <w:vAlign w:val="center"/>
          </w:tcPr>
          <w:p w14:paraId="7D66C2DE">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建筑栋号、建筑高度（m）、地下高度（m）、地上高度（m）、室内外高差（m）、地坪标高（m）、总建筑面积（㎡）、地下面积（㎡）、地上面积（㎡）、地上层数、地下层数、层数、楼层标高（m）、建筑基底面积（㎡）</w:t>
            </w:r>
          </w:p>
        </w:tc>
      </w:tr>
      <w:tr w14:paraId="2EC84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672543BC">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1BA47172">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0EA0D65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特定建筑信息</w:t>
            </w:r>
          </w:p>
        </w:tc>
        <w:tc>
          <w:tcPr>
            <w:tcW w:w="5691" w:type="dxa"/>
            <w:shd w:val="clear" w:color="auto" w:fill="auto"/>
            <w:vAlign w:val="center"/>
          </w:tcPr>
          <w:p w14:paraId="4B4B9CB9">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唯一标识码、围护、顶盖、层高（m）</w:t>
            </w:r>
          </w:p>
        </w:tc>
      </w:tr>
      <w:tr w14:paraId="601DEB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55216A45">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7DF6B60D">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7CB2FA85">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楼层</w:t>
            </w:r>
          </w:p>
          <w:p w14:paraId="7941AC6F">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5691" w:type="dxa"/>
            <w:shd w:val="clear" w:color="auto" w:fill="auto"/>
            <w:vAlign w:val="center"/>
          </w:tcPr>
          <w:p w14:paraId="678122B8">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唯一标识码、楼层名称、标高类型、规范标高（m）、标准层、标准层范围、建筑层高（m）、结构层高（m）、结构净高（m）、覆土顶板标高（m）、楼层顶板标高（m）</w:t>
            </w:r>
          </w:p>
        </w:tc>
      </w:tr>
      <w:tr w14:paraId="439668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76E2399D">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5FC9417B">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46E1F8DB">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常规建筑功能分区信息</w:t>
            </w:r>
          </w:p>
        </w:tc>
        <w:tc>
          <w:tcPr>
            <w:tcW w:w="5691" w:type="dxa"/>
            <w:shd w:val="clear" w:color="auto" w:fill="auto"/>
            <w:vAlign w:val="center"/>
          </w:tcPr>
          <w:p w14:paraId="6614B5FC">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唯一标识码、功能空间、图形面积（㎡）、架空层、计容系数、计容面积（㎡）</w:t>
            </w:r>
          </w:p>
        </w:tc>
      </w:tr>
      <w:tr w14:paraId="2D5F0B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7C423B87">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13F2A84D">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5F2F47FF">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住宅功能空间信息</w:t>
            </w:r>
          </w:p>
        </w:tc>
        <w:tc>
          <w:tcPr>
            <w:tcW w:w="5691" w:type="dxa"/>
            <w:shd w:val="clear" w:color="auto" w:fill="auto"/>
            <w:vAlign w:val="center"/>
          </w:tcPr>
          <w:p w14:paraId="33E9DA0E">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空间名称、面域类型、户型编号、复式住宅、关联楼层、户数、短边净宽（m）、使用面积（㎡）、套型面积（㎡）、套内建筑面积（㎡）、公摊面积（㎡）、阳台类型、阳台最大进深（m）、阳台投影面积（㎡）、阳台投影面积占比、阳台顶盖、公摊类型、可分摊功能区、起居室短边净宽（m）、起居室使用面积（㎡）、厨房类型、厨房使用面积（㎡）、卧室类型、 卧室净宽（m）、卧室使用面积（㎡）</w:t>
            </w:r>
          </w:p>
        </w:tc>
      </w:tr>
      <w:tr w14:paraId="5BD45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324715BE">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6C19E121">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37DE974A">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特定功能空间信息</w:t>
            </w:r>
          </w:p>
        </w:tc>
        <w:tc>
          <w:tcPr>
            <w:tcW w:w="5691" w:type="dxa"/>
            <w:shd w:val="clear" w:color="auto" w:fill="auto"/>
            <w:vAlign w:val="center"/>
          </w:tcPr>
          <w:p w14:paraId="715EC5BA">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空间名称、坡道位置、坡道顶盖、屋顶类型、屋顶绿化区域、停车库停车面积（㎡）、停车库非机动车泊位数、停车库机动车泊位数、停车库室内自走式机动车数量、停车库室内机械式机动车数量、停车库室内非机动车数量</w:t>
            </w:r>
          </w:p>
        </w:tc>
      </w:tr>
      <w:tr w14:paraId="7A0AB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jc w:val="center"/>
        </w:trPr>
        <w:tc>
          <w:tcPr>
            <w:tcW w:w="1112" w:type="dxa"/>
            <w:vMerge w:val="continue"/>
            <w:shd w:val="clear" w:color="auto" w:fill="auto"/>
            <w:vAlign w:val="center"/>
          </w:tcPr>
          <w:p w14:paraId="7BAFFF05">
            <w:pPr>
              <w:adjustRightInd w:val="0"/>
              <w:snapToGrid w:val="0"/>
              <w:spacing w:before="156" w:after="156" w:line="240" w:lineRule="auto"/>
              <w:ind w:firstLine="0" w:firstLineChars="0"/>
              <w:jc w:val="center"/>
              <w:rPr>
                <w:rFonts w:hint="eastAsia" w:ascii="宋体" w:hAnsi="宋体" w:cs="宋体"/>
                <w:sz w:val="21"/>
                <w:szCs w:val="21"/>
              </w:rPr>
            </w:pPr>
          </w:p>
        </w:tc>
        <w:tc>
          <w:tcPr>
            <w:tcW w:w="531" w:type="dxa"/>
            <w:gridSpan w:val="2"/>
            <w:vMerge w:val="continue"/>
            <w:shd w:val="clear" w:color="auto" w:fill="auto"/>
            <w:vAlign w:val="center"/>
          </w:tcPr>
          <w:p w14:paraId="29D76DBC">
            <w:pPr>
              <w:adjustRightInd w:val="0"/>
              <w:snapToGrid w:val="0"/>
              <w:spacing w:before="156" w:after="156" w:line="240" w:lineRule="auto"/>
              <w:ind w:firstLine="0" w:firstLineChars="0"/>
              <w:jc w:val="center"/>
              <w:rPr>
                <w:rFonts w:hint="eastAsia" w:ascii="宋体" w:hAnsi="宋体" w:cs="宋体"/>
                <w:sz w:val="21"/>
                <w:szCs w:val="21"/>
              </w:rPr>
            </w:pPr>
          </w:p>
        </w:tc>
        <w:tc>
          <w:tcPr>
            <w:tcW w:w="1187" w:type="dxa"/>
            <w:shd w:val="clear" w:color="auto" w:fill="auto"/>
            <w:vAlign w:val="center"/>
          </w:tcPr>
          <w:p w14:paraId="48999625">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公共配套功能空间信息</w:t>
            </w:r>
          </w:p>
        </w:tc>
        <w:tc>
          <w:tcPr>
            <w:tcW w:w="5691" w:type="dxa"/>
            <w:shd w:val="clear" w:color="auto" w:fill="auto"/>
            <w:vAlign w:val="center"/>
          </w:tcPr>
          <w:p w14:paraId="4721E2E8">
            <w:pPr>
              <w:spacing w:before="156" w:after="156" w:line="240" w:lineRule="auto"/>
              <w:ind w:firstLine="0" w:firstLineChars="0"/>
              <w:jc w:val="left"/>
              <w:rPr>
                <w:rFonts w:hint="eastAsia" w:ascii="宋体" w:hAnsi="宋体" w:cs="宋体"/>
                <w:color w:val="FF0000"/>
                <w:sz w:val="21"/>
                <w:szCs w:val="21"/>
              </w:rPr>
            </w:pPr>
            <w:r>
              <w:rPr>
                <w:rFonts w:hint="eastAsia" w:ascii="宋体" w:hAnsi="宋体" w:cs="宋体"/>
                <w:sz w:val="21"/>
                <w:szCs w:val="21"/>
              </w:rPr>
              <w:t>唯一标识码、空间名称、公共配套功能空间类型、公共配套功能空间名称、用地性质、 建筑面积（㎡）、建筑面积占比（住宅区物业管理用房类）、每百户的建筑面积（养老设施类）（㎡）、床位数（社区养老院类）、公共厕所建筑面积（加油站加气站中的配套设施类）</w:t>
            </w:r>
          </w:p>
        </w:tc>
      </w:tr>
      <w:tr w14:paraId="5DD2E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19F8302F">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1718" w:type="dxa"/>
            <w:gridSpan w:val="3"/>
            <w:shd w:val="clear" w:color="auto" w:fill="auto"/>
            <w:vAlign w:val="center"/>
          </w:tcPr>
          <w:p w14:paraId="615D42C7">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主要经济技术指标信息</w:t>
            </w:r>
          </w:p>
        </w:tc>
        <w:tc>
          <w:tcPr>
            <w:tcW w:w="5691" w:type="dxa"/>
            <w:shd w:val="clear" w:color="auto" w:fill="auto"/>
            <w:vAlign w:val="center"/>
          </w:tcPr>
          <w:p w14:paraId="51D7C5FA">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唯一标识码、项目规划总用地面积（㎡）、项目可建设用地面积（㎡）、建筑总面积（㎡）、规划道路总面积（㎡）、规划绿化总面积（㎡）、计算容积率面积（㎡）、综合容积率、总建筑密度</w:t>
            </w:r>
          </w:p>
        </w:tc>
      </w:tr>
      <w:tr w14:paraId="3EE5A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7E10E319">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1718" w:type="dxa"/>
            <w:gridSpan w:val="3"/>
            <w:shd w:val="clear" w:color="auto" w:fill="auto"/>
            <w:vAlign w:val="center"/>
          </w:tcPr>
          <w:p w14:paraId="68E53070">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配套公建技术指标信息</w:t>
            </w:r>
          </w:p>
        </w:tc>
        <w:tc>
          <w:tcPr>
            <w:tcW w:w="5691" w:type="dxa"/>
            <w:shd w:val="clear" w:color="auto" w:fill="auto"/>
            <w:vAlign w:val="center"/>
          </w:tcPr>
          <w:p w14:paraId="3B802A5B">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唯一标识码、建筑编号、地上层数、地下层数、总建筑面积（㎡）、地上建筑面积（㎡）、地下建筑面积（㎡）、计算容积率</w:t>
            </w:r>
          </w:p>
        </w:tc>
      </w:tr>
      <w:tr w14:paraId="4E515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0C414D1B">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1718" w:type="dxa"/>
            <w:gridSpan w:val="3"/>
            <w:shd w:val="clear" w:color="auto" w:fill="auto"/>
            <w:vAlign w:val="center"/>
          </w:tcPr>
          <w:p w14:paraId="005F1DAD">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用地强度指标</w:t>
            </w:r>
          </w:p>
          <w:p w14:paraId="4037B0B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5691" w:type="dxa"/>
            <w:shd w:val="clear" w:color="auto" w:fill="auto"/>
            <w:vAlign w:val="center"/>
          </w:tcPr>
          <w:p w14:paraId="33834741">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建筑高度（相对于室外地坪标高）（m）、建筑面积（㎡）、建筑密度、绿地率、建筑比例、商住-商业建筑比例、商住-住宅建筑比例、商办-商业建筑比例、商办-办公建筑比例、其他混合用地比例、商业配套用房比例、酒店式公寓配建比例、可建总计面积（㎡）、已发许可面积（㎡）、剩余面积（㎡）、本次报审面积（㎡）、地上建筑面积（㎡）、地下建筑面积（㎡）、人才保障房面积（㎡）、租赁用房面积（㎡）、单建地下空间覆土深度（mm）、单建地下通道覆土深度（mm）、单建地上空间功能空间、单建空中连廊宽度、单建空中连廊距离室外地坪净高（mm）</w:t>
            </w:r>
          </w:p>
        </w:tc>
      </w:tr>
      <w:tr w14:paraId="11BC8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224C388C">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7</w:t>
            </w:r>
          </w:p>
        </w:tc>
        <w:tc>
          <w:tcPr>
            <w:tcW w:w="1718" w:type="dxa"/>
            <w:gridSpan w:val="3"/>
            <w:shd w:val="clear" w:color="auto" w:fill="auto"/>
            <w:vAlign w:val="center"/>
          </w:tcPr>
          <w:p w14:paraId="61222906">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地下空间标高指标信息</w:t>
            </w:r>
          </w:p>
        </w:tc>
        <w:tc>
          <w:tcPr>
            <w:tcW w:w="5691" w:type="dxa"/>
            <w:shd w:val="clear" w:color="auto" w:fill="auto"/>
            <w:vAlign w:val="center"/>
          </w:tcPr>
          <w:p w14:paraId="768CC708">
            <w:pPr>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唯一标识码、地下空间层数、地坪标高（m）、覆土深度（mm）</w:t>
            </w:r>
          </w:p>
        </w:tc>
      </w:tr>
      <w:tr w14:paraId="3A810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08B1992A">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1718" w:type="dxa"/>
            <w:gridSpan w:val="3"/>
            <w:shd w:val="clear" w:color="auto" w:fill="auto"/>
            <w:vAlign w:val="center"/>
          </w:tcPr>
          <w:p w14:paraId="204D98C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专业协调报告信息</w:t>
            </w:r>
          </w:p>
        </w:tc>
        <w:tc>
          <w:tcPr>
            <w:tcW w:w="5691" w:type="dxa"/>
            <w:shd w:val="clear" w:color="auto" w:fill="auto"/>
            <w:vAlign w:val="center"/>
          </w:tcPr>
          <w:p w14:paraId="5BE9FC4D">
            <w:pPr>
              <w:adjustRightInd w:val="0"/>
              <w:snapToGrid w:val="0"/>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唯一标识码、报告名称、报告编码、协调专业、协调问题、问题描述、问题类型、楼层标高（m）、轴号、关联构件名称、关联构件Id、优化建议、编制人员、编制时间、答复意见、答复人、记录时间</w:t>
            </w:r>
          </w:p>
        </w:tc>
      </w:tr>
      <w:tr w14:paraId="22897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2" w:type="dxa"/>
            <w:shd w:val="clear" w:color="auto" w:fill="auto"/>
            <w:vAlign w:val="center"/>
          </w:tcPr>
          <w:p w14:paraId="0408FBDD">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val="en-US" w:eastAsia="zh-CN"/>
              </w:rPr>
              <w:t>9</w:t>
            </w:r>
          </w:p>
        </w:tc>
        <w:tc>
          <w:tcPr>
            <w:tcW w:w="1718" w:type="dxa"/>
            <w:gridSpan w:val="3"/>
            <w:shd w:val="clear" w:color="auto" w:fill="auto"/>
            <w:vAlign w:val="center"/>
          </w:tcPr>
          <w:p w14:paraId="67B2ECE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工程投资估/预算信息</w:t>
            </w:r>
          </w:p>
        </w:tc>
        <w:tc>
          <w:tcPr>
            <w:tcW w:w="5691" w:type="dxa"/>
            <w:shd w:val="clear" w:color="auto" w:fill="auto"/>
            <w:vAlign w:val="center"/>
          </w:tcPr>
          <w:p w14:paraId="56374CC8">
            <w:pPr>
              <w:adjustRightInd w:val="0"/>
              <w:snapToGrid w:val="0"/>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唯一标识码、编码、项目概况、设计范围、总说明、编制依据、备注、工程预算、费用类型、费用名称、计算值、计算基础（计量单位）、结果值、内容描述编制人员、编制时间</w:t>
            </w:r>
          </w:p>
        </w:tc>
      </w:tr>
      <w:tr w14:paraId="1DC0A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112" w:type="dxa"/>
            <w:vAlign w:val="center"/>
          </w:tcPr>
          <w:p w14:paraId="0FFE91AE">
            <w:pPr>
              <w:adjustRightInd w:val="0"/>
              <w:snapToGrid w:val="0"/>
              <w:spacing w:before="156" w:after="156" w:line="240" w:lineRule="auto"/>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1718" w:type="dxa"/>
            <w:gridSpan w:val="3"/>
            <w:vAlign w:val="center"/>
          </w:tcPr>
          <w:p w14:paraId="053FA8CF">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其他应用成果</w:t>
            </w:r>
          </w:p>
          <w:p w14:paraId="3427721D">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5691" w:type="dxa"/>
            <w:vAlign w:val="center"/>
          </w:tcPr>
          <w:p w14:paraId="68519B53">
            <w:pPr>
              <w:adjustRightInd w:val="0"/>
              <w:snapToGrid w:val="0"/>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唯一标识码、编码、项目概况、备注、应用类型、应用成果文件名称、应用成果文件类型、版本号、内容描述、编制人员、提交时间</w:t>
            </w:r>
          </w:p>
        </w:tc>
      </w:tr>
    </w:tbl>
    <w:p w14:paraId="022169C9">
      <w:pPr>
        <w:spacing w:before="156" w:after="156"/>
        <w:ind w:firstLine="0" w:firstLineChars="0"/>
        <w:rPr>
          <w:rFonts w:cs="Times New Roman"/>
        </w:rPr>
      </w:pPr>
      <w:r>
        <w:rPr>
          <w:rFonts w:cs="Times New Roman"/>
          <w:b/>
        </w:rPr>
        <w:t>4.</w:t>
      </w:r>
      <w:r>
        <w:rPr>
          <w:rFonts w:hint="eastAsia" w:cs="Times New Roman"/>
          <w:b/>
        </w:rPr>
        <w:t>3</w:t>
      </w:r>
      <w:r>
        <w:rPr>
          <w:rFonts w:cs="Times New Roman"/>
          <w:b/>
        </w:rPr>
        <w:t>.6</w:t>
      </w:r>
      <w:r>
        <w:rPr>
          <w:rFonts w:cs="Times New Roman"/>
        </w:rPr>
        <w:t xml:space="preserve">  设计</w:t>
      </w:r>
      <w:r>
        <w:rPr>
          <w:rFonts w:hint="eastAsia" w:cs="Times New Roman"/>
        </w:rPr>
        <w:t>阶段</w:t>
      </w:r>
      <w:r>
        <w:rPr>
          <w:rFonts w:cs="Times New Roman"/>
        </w:rPr>
        <w:t>其他</w:t>
      </w:r>
      <w:r>
        <w:rPr>
          <w:rFonts w:hint="eastAsia" w:cs="Times New Roman"/>
          <w:lang w:eastAsia="zh-CN"/>
        </w:rPr>
        <w:t>信息表项</w:t>
      </w:r>
      <w:r>
        <w:rPr>
          <w:rFonts w:cs="Times New Roman"/>
        </w:rPr>
        <w:t>组成</w:t>
      </w:r>
      <w:r>
        <w:rPr>
          <w:rFonts w:hint="eastAsia" w:cs="Times New Roman"/>
        </w:rPr>
        <w:t>宜</w:t>
      </w:r>
      <w:r>
        <w:rPr>
          <w:rFonts w:cs="Times New Roman"/>
        </w:rPr>
        <w:t>按表</w:t>
      </w:r>
      <w:r>
        <w:rPr>
          <w:rFonts w:cs="Times New Roman"/>
          <w:bCs/>
        </w:rPr>
        <w:t>4.</w:t>
      </w:r>
      <w:r>
        <w:rPr>
          <w:rFonts w:hint="eastAsia" w:cs="Times New Roman"/>
          <w:bCs/>
        </w:rPr>
        <w:t>3</w:t>
      </w:r>
      <w:r>
        <w:rPr>
          <w:rFonts w:cs="Times New Roman"/>
          <w:bCs/>
        </w:rPr>
        <w:t>.6</w:t>
      </w:r>
      <w:r>
        <w:rPr>
          <w:rFonts w:cs="Times New Roman"/>
        </w:rPr>
        <w:t>采用。</w:t>
      </w:r>
    </w:p>
    <w:p w14:paraId="56E3E6A3">
      <w:pPr>
        <w:spacing w:before="156" w:after="156"/>
        <w:ind w:firstLine="0" w:firstLineChars="0"/>
        <w:jc w:val="center"/>
        <w:rPr>
          <w:rFonts w:hint="eastAsia" w:ascii="宋体" w:hAnsi="宋体" w:cs="宋体"/>
          <w:b/>
          <w:bCs/>
          <w:sz w:val="21"/>
          <w:szCs w:val="21"/>
        </w:rPr>
      </w:pPr>
      <w:r>
        <w:rPr>
          <w:rFonts w:hint="eastAsia" w:ascii="宋体" w:hAnsi="宋体" w:cs="宋体"/>
          <w:b/>
          <w:bCs/>
          <w:sz w:val="21"/>
          <w:szCs w:val="21"/>
        </w:rPr>
        <w:t>表4.3.6 设计阶段其他</w:t>
      </w:r>
      <w:r>
        <w:rPr>
          <w:rFonts w:hint="eastAsia" w:ascii="宋体" w:hAnsi="宋体" w:cs="宋体"/>
          <w:b/>
          <w:bCs/>
          <w:sz w:val="21"/>
          <w:szCs w:val="21"/>
          <w:lang w:val="en-US" w:eastAsia="zh-CN"/>
        </w:rPr>
        <w:t>信息</w:t>
      </w:r>
      <w:r>
        <w:rPr>
          <w:rFonts w:hint="eastAsia" w:ascii="宋体" w:hAnsi="宋体" w:cs="宋体"/>
          <w:b/>
          <w:bCs/>
          <w:sz w:val="21"/>
          <w:szCs w:val="21"/>
        </w:rPr>
        <w:t>组成</w:t>
      </w:r>
    </w:p>
    <w:tbl>
      <w:tblPr>
        <w:tblStyle w:val="18"/>
        <w:tblW w:w="8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4"/>
        <w:gridCol w:w="1711"/>
        <w:gridCol w:w="5696"/>
      </w:tblGrid>
      <w:tr w14:paraId="4B793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0013D1E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1711" w:type="dxa"/>
          </w:tcPr>
          <w:p w14:paraId="1368A832">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信息表项</w:t>
            </w:r>
          </w:p>
        </w:tc>
        <w:tc>
          <w:tcPr>
            <w:tcW w:w="5696" w:type="dxa"/>
          </w:tcPr>
          <w:p w14:paraId="310943C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w:t>
            </w:r>
            <w:r>
              <w:rPr>
                <w:rFonts w:hint="eastAsia" w:ascii="宋体" w:hAnsi="宋体" w:cs="宋体"/>
                <w:sz w:val="21"/>
                <w:szCs w:val="21"/>
                <w:lang w:val="en-US" w:eastAsia="zh-CN"/>
              </w:rPr>
              <w:t>信息</w:t>
            </w:r>
            <w:r>
              <w:rPr>
                <w:rFonts w:hint="eastAsia" w:ascii="宋体" w:hAnsi="宋体" w:cs="宋体"/>
                <w:sz w:val="21"/>
                <w:szCs w:val="21"/>
              </w:rPr>
              <w:t>组成</w:t>
            </w:r>
          </w:p>
        </w:tc>
      </w:tr>
      <w:tr w14:paraId="5FCE4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042A9A4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1711" w:type="dxa"/>
            <w:vAlign w:val="center"/>
          </w:tcPr>
          <w:p w14:paraId="716DF1C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项目基础信息</w:t>
            </w:r>
          </w:p>
        </w:tc>
        <w:tc>
          <w:tcPr>
            <w:tcW w:w="5696" w:type="dxa"/>
          </w:tcPr>
          <w:p w14:paraId="21E16AE3">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唯一标识码、备注、项目名称、项目编号、建设地址、建设单位、设计单位、勘察单位、咨询单位、施工单位、监理单位、图审单位、坐标系名称、高程系名称、基点坐标X、基点坐标Y、基点高程</w:t>
            </w:r>
          </w:p>
        </w:tc>
      </w:tr>
      <w:tr w14:paraId="67CD3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07DC09D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711" w:type="dxa"/>
            <w:vAlign w:val="center"/>
          </w:tcPr>
          <w:p w14:paraId="1F7259C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模型文件信息</w:t>
            </w:r>
          </w:p>
        </w:tc>
        <w:tc>
          <w:tcPr>
            <w:tcW w:w="5696" w:type="dxa"/>
          </w:tcPr>
          <w:p w14:paraId="00EB8EAD">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唯一标识码、编码、文件名称、项目名称、项目编码、阶段类型、模型类型、模型精度、编制人员、提交时间、文件格式、文件引用、文件版本</w:t>
            </w:r>
          </w:p>
        </w:tc>
      </w:tr>
      <w:tr w14:paraId="5585F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461FE60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1711" w:type="dxa"/>
            <w:vAlign w:val="center"/>
          </w:tcPr>
          <w:p w14:paraId="50C8ABC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图片文件信息</w:t>
            </w:r>
          </w:p>
        </w:tc>
        <w:tc>
          <w:tcPr>
            <w:tcW w:w="5696" w:type="dxa"/>
          </w:tcPr>
          <w:p w14:paraId="3D71E5B4">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唯一标识码、编码、文件名称、项目名称、项目编码、阶段类型、图片类型、提交人员、提交时间、文件格式、文件引用、文件版本</w:t>
            </w:r>
          </w:p>
        </w:tc>
      </w:tr>
      <w:tr w14:paraId="49C6B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0F15975D">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1711" w:type="dxa"/>
            <w:vAlign w:val="center"/>
          </w:tcPr>
          <w:p w14:paraId="4A5C766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视频文件信息</w:t>
            </w:r>
          </w:p>
        </w:tc>
        <w:tc>
          <w:tcPr>
            <w:tcW w:w="5696" w:type="dxa"/>
          </w:tcPr>
          <w:p w14:paraId="5836CF97">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唯一标识码、编码、文件名称、项目名称、项目编码、阶段类型、视频类型、文件大小、编制人员、提交时间、文件格式、文件引用、文件版本</w:t>
            </w:r>
          </w:p>
        </w:tc>
      </w:tr>
      <w:tr w14:paraId="16BDF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114" w:type="dxa"/>
          </w:tcPr>
          <w:p w14:paraId="678C259E">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1711" w:type="dxa"/>
            <w:vAlign w:val="center"/>
          </w:tcPr>
          <w:p w14:paraId="068C02A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图纸文件信息</w:t>
            </w:r>
          </w:p>
        </w:tc>
        <w:tc>
          <w:tcPr>
            <w:tcW w:w="5696" w:type="dxa"/>
          </w:tcPr>
          <w:p w14:paraId="444E9BDB">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唯一标识码、编码、文件名称、项目名称、项目编码、阶段类型、图纸类型、编制人员、提交时间、文件格式、文件引用、文件版本</w:t>
            </w:r>
          </w:p>
        </w:tc>
      </w:tr>
      <w:tr w14:paraId="71252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114" w:type="dxa"/>
          </w:tcPr>
          <w:p w14:paraId="118F48F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1711" w:type="dxa"/>
            <w:vAlign w:val="center"/>
          </w:tcPr>
          <w:p w14:paraId="40EF73C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报告文件信息</w:t>
            </w:r>
          </w:p>
        </w:tc>
        <w:tc>
          <w:tcPr>
            <w:tcW w:w="5696" w:type="dxa"/>
          </w:tcPr>
          <w:p w14:paraId="3D39E579">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唯一标识码、编码、报告名称、项目名称、项目编码、阶段类型、报告类型、编制人员、提交时间、文件格式、文件引用、文件版本</w:t>
            </w:r>
          </w:p>
        </w:tc>
      </w:tr>
    </w:tbl>
    <w:p w14:paraId="3A0941B9">
      <w:pPr>
        <w:pStyle w:val="3"/>
        <w:spacing w:before="156" w:after="156"/>
        <w:ind w:firstLine="482"/>
        <w:rPr>
          <w:rFonts w:hint="default" w:eastAsia="黑体" w:cs="Times New Roman"/>
          <w:lang w:val="en-US" w:eastAsia="zh-CN"/>
        </w:rPr>
      </w:pPr>
      <w:bookmarkStart w:id="22" w:name="_Toc30460"/>
      <w:bookmarkStart w:id="23" w:name="_Toc1191"/>
      <w:r>
        <w:rPr>
          <w:rFonts w:cs="Times New Roman"/>
        </w:rPr>
        <w:t>4.</w:t>
      </w:r>
      <w:r>
        <w:rPr>
          <w:rFonts w:hint="eastAsia" w:cs="Times New Roman"/>
        </w:rPr>
        <w:t>4</w:t>
      </w:r>
      <w:r>
        <w:rPr>
          <w:rFonts w:cs="Times New Roman"/>
        </w:rPr>
        <w:t xml:space="preserve">  </w:t>
      </w:r>
      <w:r>
        <w:rPr>
          <w:rFonts w:cs="Times New Roman"/>
          <w:b w:val="0"/>
          <w:bCs w:val="0"/>
        </w:rPr>
        <w:t>施工阶段</w:t>
      </w:r>
      <w:bookmarkEnd w:id="22"/>
      <w:r>
        <w:rPr>
          <w:rFonts w:hint="eastAsia" w:cs="Times New Roman"/>
          <w:b w:val="0"/>
          <w:bCs w:val="0"/>
          <w:lang w:val="en-US" w:eastAsia="zh-CN"/>
        </w:rPr>
        <w:t>交付内容</w:t>
      </w:r>
      <w:bookmarkEnd w:id="23"/>
    </w:p>
    <w:p w14:paraId="102B20C4">
      <w:pPr>
        <w:spacing w:before="156" w:after="156"/>
        <w:ind w:firstLine="0" w:firstLineChars="0"/>
        <w:rPr>
          <w:rFonts w:cs="Times New Roman"/>
        </w:rPr>
      </w:pPr>
      <w:r>
        <w:rPr>
          <w:rFonts w:cs="Times New Roman"/>
          <w:b/>
        </w:rPr>
        <w:t>4.</w:t>
      </w:r>
      <w:r>
        <w:rPr>
          <w:rFonts w:hint="eastAsia" w:cs="Times New Roman"/>
          <w:b/>
        </w:rPr>
        <w:t>4</w:t>
      </w:r>
      <w:r>
        <w:rPr>
          <w:rFonts w:cs="Times New Roman"/>
          <w:b/>
        </w:rPr>
        <w:t xml:space="preserve">.1  </w:t>
      </w:r>
      <w:r>
        <w:rPr>
          <w:rFonts w:cs="Times New Roman"/>
        </w:rPr>
        <w:t>施工阶段</w:t>
      </w:r>
      <w:r>
        <w:rPr>
          <w:rFonts w:hint="eastAsia" w:cs="Times New Roman"/>
          <w:lang w:val="en-US" w:eastAsia="zh-CN"/>
        </w:rPr>
        <w:t>交付内容应</w:t>
      </w:r>
      <w:r>
        <w:rPr>
          <w:rFonts w:cs="Times New Roman"/>
        </w:rPr>
        <w:t>包含施工模型</w:t>
      </w:r>
      <w:r>
        <w:rPr>
          <w:rFonts w:hint="eastAsia" w:cs="Times New Roman"/>
          <w:lang w:val="en-US" w:eastAsia="zh-CN"/>
        </w:rPr>
        <w:t>信息</w:t>
      </w:r>
      <w:r>
        <w:rPr>
          <w:rFonts w:cs="Times New Roman"/>
        </w:rPr>
        <w:t>和施工</w:t>
      </w:r>
      <w:r>
        <w:rPr>
          <w:rFonts w:hint="eastAsia" w:cs="Times New Roman"/>
          <w:lang w:val="en-US" w:eastAsia="zh-CN"/>
        </w:rPr>
        <w:t>应用</w:t>
      </w:r>
      <w:r>
        <w:rPr>
          <w:rFonts w:cs="Times New Roman"/>
        </w:rPr>
        <w:t>管理等相关非模型</w:t>
      </w:r>
      <w:r>
        <w:rPr>
          <w:rFonts w:hint="eastAsia" w:cs="Times New Roman"/>
          <w:lang w:val="en-US" w:eastAsia="zh-CN"/>
        </w:rPr>
        <w:t>信息</w:t>
      </w:r>
      <w:r>
        <w:rPr>
          <w:rFonts w:cs="Times New Roman"/>
        </w:rPr>
        <w:t>，</w:t>
      </w:r>
      <w:r>
        <w:rPr>
          <w:rFonts w:hint="eastAsia" w:cs="Times New Roman"/>
          <w:lang w:val="en-US" w:eastAsia="zh-CN"/>
        </w:rPr>
        <w:t>并</w:t>
      </w:r>
      <w:r>
        <w:rPr>
          <w:rFonts w:cs="Times New Roman"/>
        </w:rPr>
        <w:t>应满足该阶段成果交付的要求。</w:t>
      </w:r>
    </w:p>
    <w:p w14:paraId="6194A869">
      <w:pPr>
        <w:spacing w:before="156" w:after="156"/>
        <w:ind w:firstLine="0" w:firstLineChars="0"/>
        <w:rPr>
          <w:rFonts w:cs="Times New Roman"/>
        </w:rPr>
      </w:pPr>
      <w:r>
        <w:rPr>
          <w:rFonts w:cs="Times New Roman"/>
          <w:b/>
        </w:rPr>
        <w:t>4.</w:t>
      </w:r>
      <w:r>
        <w:rPr>
          <w:rFonts w:hint="eastAsia" w:cs="Times New Roman"/>
          <w:b/>
        </w:rPr>
        <w:t>4</w:t>
      </w:r>
      <w:r>
        <w:rPr>
          <w:rFonts w:cs="Times New Roman"/>
          <w:b/>
        </w:rPr>
        <w:t>.2</w:t>
      </w:r>
      <w:r>
        <w:rPr>
          <w:rFonts w:cs="Times New Roman"/>
        </w:rPr>
        <w:t xml:space="preserve">  根据</w:t>
      </w:r>
      <w:r>
        <w:rPr>
          <w:rFonts w:hint="eastAsia" w:cs="Times New Roman"/>
          <w:lang w:val="en-US" w:eastAsia="zh-CN"/>
        </w:rPr>
        <w:t>施工阶段</w:t>
      </w:r>
      <w:r>
        <w:rPr>
          <w:rFonts w:cs="Times New Roman"/>
        </w:rPr>
        <w:t>交付内容</w:t>
      </w:r>
      <w:r>
        <w:rPr>
          <w:rFonts w:hint="eastAsia" w:cs="Times New Roman"/>
          <w:lang w:val="en-US" w:eastAsia="zh-CN"/>
        </w:rPr>
        <w:t>类型</w:t>
      </w:r>
      <w:r>
        <w:rPr>
          <w:rFonts w:cs="Times New Roman"/>
        </w:rPr>
        <w:t>不同，划分该阶段</w:t>
      </w:r>
      <w:r>
        <w:rPr>
          <w:rFonts w:hint="eastAsia" w:cs="Times New Roman"/>
          <w:lang w:val="en-US" w:eastAsia="zh-CN"/>
        </w:rPr>
        <w:t>交付内容</w:t>
      </w:r>
      <w:r>
        <w:rPr>
          <w:rFonts w:cs="Times New Roman"/>
        </w:rPr>
        <w:t>为各专业深化模型构件信息、施工应用成果信息和其他信息。</w:t>
      </w:r>
    </w:p>
    <w:p w14:paraId="1F0DC09A">
      <w:pPr>
        <w:spacing w:before="156" w:after="156"/>
        <w:ind w:firstLine="0" w:firstLineChars="0"/>
        <w:rPr>
          <w:rFonts w:cs="Times New Roman"/>
        </w:rPr>
      </w:pPr>
      <w:r>
        <w:rPr>
          <w:rFonts w:cs="Times New Roman"/>
          <w:b/>
        </w:rPr>
        <w:t>4.</w:t>
      </w:r>
      <w:r>
        <w:rPr>
          <w:rFonts w:hint="eastAsia" w:cs="Times New Roman"/>
          <w:b/>
        </w:rPr>
        <w:t>4</w:t>
      </w:r>
      <w:r>
        <w:rPr>
          <w:rFonts w:cs="Times New Roman"/>
          <w:b/>
        </w:rPr>
        <w:t>.3</w:t>
      </w:r>
      <w:r>
        <w:rPr>
          <w:rFonts w:cs="Times New Roman"/>
        </w:rPr>
        <w:t xml:space="preserve">  施工</w:t>
      </w:r>
      <w:r>
        <w:rPr>
          <w:rFonts w:hint="eastAsia" w:cs="Times New Roman"/>
        </w:rPr>
        <w:t>阶段</w:t>
      </w:r>
      <w:r>
        <w:rPr>
          <w:rFonts w:hint="eastAsia" w:cs="Times New Roman"/>
          <w:lang w:val="en-US" w:eastAsia="zh-CN"/>
        </w:rPr>
        <w:t>交付内容</w:t>
      </w:r>
      <w:r>
        <w:rPr>
          <w:rFonts w:cs="Times New Roman"/>
        </w:rPr>
        <w:t>组成</w:t>
      </w:r>
      <w:r>
        <w:rPr>
          <w:rFonts w:hint="eastAsia" w:cs="Times New Roman"/>
        </w:rPr>
        <w:t>宜</w:t>
      </w:r>
      <w:r>
        <w:rPr>
          <w:rFonts w:cs="Times New Roman"/>
        </w:rPr>
        <w:t>满足</w:t>
      </w:r>
      <w:r>
        <w:rPr>
          <w:rFonts w:hint="eastAsia" w:cs="Times New Roman"/>
        </w:rPr>
        <w:t>图</w:t>
      </w:r>
      <w:r>
        <w:rPr>
          <w:rFonts w:cs="Times New Roman"/>
        </w:rPr>
        <w:t>4.</w:t>
      </w:r>
      <w:r>
        <w:rPr>
          <w:rFonts w:hint="eastAsia" w:cs="Times New Roman"/>
        </w:rPr>
        <w:t>4</w:t>
      </w:r>
      <w:r>
        <w:rPr>
          <w:rFonts w:cs="Times New Roman"/>
        </w:rPr>
        <w:t>.3所示要求</w:t>
      </w:r>
      <w:r>
        <w:rPr>
          <w:rFonts w:hint="eastAsia" w:cs="Times New Roman"/>
        </w:rPr>
        <w:t>。</w:t>
      </w:r>
    </w:p>
    <w:p w14:paraId="6DA2A278">
      <w:pPr>
        <w:spacing w:before="156" w:after="156"/>
        <w:ind w:firstLine="0" w:firstLineChars="0"/>
        <w:rPr>
          <w:rFonts w:cs="Times New Roman"/>
        </w:rPr>
      </w:pPr>
      <w:r>
        <w:rPr>
          <w:rFonts w:hint="eastAsia" w:cs="Times New Roman"/>
        </w:rPr>
        <w:drawing>
          <wp:inline distT="0" distB="0" distL="114300" distR="114300">
            <wp:extent cx="5499100" cy="5443220"/>
            <wp:effectExtent l="0" t="0" r="0" b="0"/>
            <wp:docPr id="15" name="图片 15" descr="E:/360MoveData/Users/1/Desktop/施工.png施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E:/360MoveData/Users/1/Desktop/施工.png施工"/>
                    <pic:cNvPicPr>
                      <a:picLocks noChangeAspect="1"/>
                    </pic:cNvPicPr>
                  </pic:nvPicPr>
                  <pic:blipFill>
                    <a:blip r:embed="rId15"/>
                    <a:srcRect/>
                    <a:stretch>
                      <a:fillRect/>
                    </a:stretch>
                  </pic:blipFill>
                  <pic:spPr>
                    <a:xfrm>
                      <a:off x="0" y="0"/>
                      <a:ext cx="5499100" cy="5443493"/>
                    </a:xfrm>
                    <a:prstGeom prst="rect">
                      <a:avLst/>
                    </a:prstGeom>
                  </pic:spPr>
                </pic:pic>
              </a:graphicData>
            </a:graphic>
          </wp:inline>
        </w:drawing>
      </w:r>
    </w:p>
    <w:p w14:paraId="133FBD39">
      <w:pPr>
        <w:spacing w:before="156" w:after="156"/>
        <w:ind w:firstLine="0" w:firstLineChars="0"/>
        <w:jc w:val="center"/>
        <w:rPr>
          <w:rFonts w:cs="Times New Roman"/>
          <w:b/>
          <w:sz w:val="21"/>
          <w:szCs w:val="21"/>
        </w:rPr>
      </w:pPr>
      <w:r>
        <w:rPr>
          <w:rFonts w:hint="eastAsia" w:cs="Times New Roman"/>
          <w:b/>
          <w:sz w:val="21"/>
          <w:szCs w:val="21"/>
        </w:rPr>
        <w:t>图</w:t>
      </w:r>
      <w:r>
        <w:rPr>
          <w:rFonts w:cs="Times New Roman"/>
          <w:b/>
          <w:sz w:val="21"/>
          <w:szCs w:val="21"/>
        </w:rPr>
        <w:t>4.</w:t>
      </w:r>
      <w:r>
        <w:rPr>
          <w:rFonts w:hint="eastAsia" w:cs="Times New Roman"/>
          <w:b/>
          <w:sz w:val="21"/>
          <w:szCs w:val="21"/>
        </w:rPr>
        <w:t>4</w:t>
      </w:r>
      <w:r>
        <w:rPr>
          <w:rFonts w:cs="Times New Roman"/>
          <w:b/>
          <w:sz w:val="21"/>
          <w:szCs w:val="21"/>
        </w:rPr>
        <w:t>.3 施工</w:t>
      </w:r>
      <w:r>
        <w:rPr>
          <w:rFonts w:hint="eastAsia" w:cs="Times New Roman"/>
          <w:b/>
          <w:sz w:val="21"/>
          <w:szCs w:val="21"/>
        </w:rPr>
        <w:t>阶段</w:t>
      </w:r>
      <w:r>
        <w:rPr>
          <w:rFonts w:hint="eastAsia" w:cs="Times New Roman"/>
          <w:b/>
          <w:sz w:val="21"/>
          <w:szCs w:val="21"/>
          <w:lang w:val="en-US" w:eastAsia="zh-CN"/>
        </w:rPr>
        <w:t>交付内容</w:t>
      </w:r>
      <w:r>
        <w:rPr>
          <w:rFonts w:cs="Times New Roman"/>
          <w:b/>
          <w:sz w:val="21"/>
          <w:szCs w:val="21"/>
        </w:rPr>
        <w:t>组成</w:t>
      </w:r>
    </w:p>
    <w:p w14:paraId="0F4AEF47">
      <w:pPr>
        <w:spacing w:before="156" w:after="156"/>
        <w:ind w:firstLine="0" w:firstLineChars="0"/>
        <w:rPr>
          <w:rFonts w:cs="Times New Roman"/>
        </w:rPr>
      </w:pPr>
      <w:r>
        <w:rPr>
          <w:rFonts w:cs="Times New Roman"/>
          <w:b/>
        </w:rPr>
        <w:t>4.</w:t>
      </w:r>
      <w:r>
        <w:rPr>
          <w:rFonts w:hint="eastAsia" w:cs="Times New Roman"/>
          <w:b/>
        </w:rPr>
        <w:t>4</w:t>
      </w:r>
      <w:r>
        <w:rPr>
          <w:rFonts w:cs="Times New Roman"/>
          <w:b/>
        </w:rPr>
        <w:t>.4</w:t>
      </w:r>
      <w:r>
        <w:rPr>
          <w:rFonts w:cs="Times New Roman"/>
        </w:rPr>
        <w:t xml:space="preserve">  </w:t>
      </w:r>
      <w:r>
        <w:rPr>
          <w:rFonts w:hint="eastAsia" w:cs="Times New Roman"/>
        </w:rPr>
        <w:t>施工阶段</w:t>
      </w:r>
      <w:r>
        <w:rPr>
          <w:rFonts w:cs="Times New Roman"/>
        </w:rPr>
        <w:t>各专业深化模型构件</w:t>
      </w:r>
      <w:r>
        <w:rPr>
          <w:rFonts w:hint="eastAsia" w:cs="Times New Roman"/>
          <w:lang w:eastAsia="zh-CN"/>
        </w:rPr>
        <w:t>信息表项</w:t>
      </w:r>
      <w:r>
        <w:rPr>
          <w:rFonts w:cs="Times New Roman"/>
        </w:rPr>
        <w:t>组成</w:t>
      </w:r>
      <w:r>
        <w:rPr>
          <w:rFonts w:hint="eastAsia" w:cs="Times New Roman"/>
        </w:rPr>
        <w:t>宜</w:t>
      </w:r>
      <w:r>
        <w:rPr>
          <w:rFonts w:cs="Times New Roman"/>
        </w:rPr>
        <w:t>按照表</w:t>
      </w:r>
      <w:r>
        <w:rPr>
          <w:rFonts w:cs="Times New Roman"/>
          <w:bCs/>
        </w:rPr>
        <w:t>4.</w:t>
      </w:r>
      <w:r>
        <w:rPr>
          <w:rFonts w:hint="eastAsia" w:cs="Times New Roman"/>
          <w:bCs/>
        </w:rPr>
        <w:t>4</w:t>
      </w:r>
      <w:r>
        <w:rPr>
          <w:rFonts w:cs="Times New Roman"/>
          <w:bCs/>
        </w:rPr>
        <w:t>.4</w:t>
      </w:r>
      <w:r>
        <w:rPr>
          <w:rFonts w:cs="Times New Roman"/>
        </w:rPr>
        <w:t>采用。</w:t>
      </w:r>
    </w:p>
    <w:p w14:paraId="2156B155">
      <w:pPr>
        <w:shd w:val="clear"/>
        <w:spacing w:before="156" w:after="156"/>
        <w:ind w:firstLine="0" w:firstLineChars="0"/>
        <w:jc w:val="center"/>
        <w:rPr>
          <w:rFonts w:cs="Times New Roman"/>
          <w:b/>
          <w:bCs/>
          <w:sz w:val="21"/>
          <w:szCs w:val="21"/>
        </w:rPr>
      </w:pPr>
      <w:r>
        <w:rPr>
          <w:rFonts w:cs="Times New Roman"/>
          <w:b/>
          <w:bCs/>
          <w:sz w:val="21"/>
          <w:szCs w:val="21"/>
        </w:rPr>
        <w:t>表4.</w:t>
      </w:r>
      <w:r>
        <w:rPr>
          <w:rFonts w:hint="eastAsia" w:cs="Times New Roman"/>
          <w:b/>
          <w:bCs/>
          <w:sz w:val="21"/>
          <w:szCs w:val="21"/>
        </w:rPr>
        <w:t>4</w:t>
      </w:r>
      <w:r>
        <w:rPr>
          <w:rFonts w:cs="Times New Roman"/>
          <w:b/>
          <w:bCs/>
          <w:sz w:val="21"/>
          <w:szCs w:val="21"/>
        </w:rPr>
        <w:t>.4 施工</w:t>
      </w:r>
      <w:r>
        <w:rPr>
          <w:rFonts w:hint="eastAsia" w:cs="Times New Roman"/>
          <w:b/>
          <w:bCs/>
          <w:sz w:val="21"/>
          <w:szCs w:val="21"/>
        </w:rPr>
        <w:t>阶段</w:t>
      </w:r>
      <w:r>
        <w:rPr>
          <w:rFonts w:cs="Times New Roman"/>
          <w:b/>
          <w:bCs/>
          <w:sz w:val="21"/>
          <w:szCs w:val="21"/>
        </w:rPr>
        <w:t>各专业</w:t>
      </w:r>
      <w:r>
        <w:rPr>
          <w:rFonts w:hint="eastAsia" w:cs="Times New Roman"/>
          <w:b/>
          <w:bCs/>
          <w:sz w:val="21"/>
          <w:szCs w:val="21"/>
        </w:rPr>
        <w:t>深化模型</w:t>
      </w:r>
      <w:r>
        <w:rPr>
          <w:rFonts w:cs="Times New Roman"/>
          <w:b/>
          <w:bCs/>
          <w:sz w:val="21"/>
          <w:szCs w:val="21"/>
        </w:rPr>
        <w:t>构件</w:t>
      </w:r>
      <w:r>
        <w:rPr>
          <w:rFonts w:hint="eastAsia" w:cs="Times New Roman"/>
          <w:b/>
          <w:bCs/>
          <w:sz w:val="21"/>
          <w:szCs w:val="21"/>
          <w:lang w:val="en-US" w:eastAsia="zh-CN"/>
        </w:rPr>
        <w:t>信息</w:t>
      </w:r>
      <w:r>
        <w:rPr>
          <w:rFonts w:cs="Times New Roman"/>
          <w:b/>
          <w:bCs/>
          <w:sz w:val="21"/>
          <w:szCs w:val="21"/>
        </w:rPr>
        <w:t>组成</w:t>
      </w:r>
    </w:p>
    <w:tbl>
      <w:tblPr>
        <w:tblStyle w:val="18"/>
        <w:tblW w:w="487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0"/>
        <w:gridCol w:w="1811"/>
        <w:gridCol w:w="5763"/>
      </w:tblGrid>
      <w:tr w14:paraId="312A9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15DDBC89">
            <w:pPr>
              <w:shd w:val="clea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1090" w:type="pct"/>
            <w:vAlign w:val="center"/>
          </w:tcPr>
          <w:p w14:paraId="76967F26">
            <w:pPr>
              <w:shd w:val="clea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信息表项</w:t>
            </w:r>
          </w:p>
        </w:tc>
        <w:tc>
          <w:tcPr>
            <w:tcW w:w="3469" w:type="pct"/>
            <w:vAlign w:val="center"/>
          </w:tcPr>
          <w:p w14:paraId="0698DB88">
            <w:pPr>
              <w:shd w:val="clea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lang w:val="en-US" w:eastAsia="zh-CN"/>
              </w:rPr>
              <w:t>深化</w:t>
            </w:r>
            <w:r>
              <w:rPr>
                <w:rFonts w:hint="eastAsia" w:ascii="宋体" w:hAnsi="宋体" w:cs="宋体"/>
                <w:sz w:val="21"/>
                <w:szCs w:val="21"/>
              </w:rPr>
              <w:t>模型构件</w:t>
            </w:r>
            <w:r>
              <w:rPr>
                <w:rFonts w:hint="eastAsia" w:ascii="宋体" w:hAnsi="宋体" w:cs="宋体"/>
                <w:sz w:val="21"/>
                <w:szCs w:val="21"/>
                <w:lang w:val="en-US" w:eastAsia="zh-CN"/>
              </w:rPr>
              <w:t>信息</w:t>
            </w:r>
            <w:r>
              <w:rPr>
                <w:rFonts w:hint="eastAsia" w:ascii="宋体" w:hAnsi="宋体" w:cs="宋体"/>
                <w:sz w:val="21"/>
                <w:szCs w:val="21"/>
              </w:rPr>
              <w:t>组成</w:t>
            </w:r>
          </w:p>
        </w:tc>
      </w:tr>
      <w:tr w14:paraId="26A50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shd w:val="clear" w:color="auto" w:fill="auto"/>
            <w:vAlign w:val="center"/>
          </w:tcPr>
          <w:p w14:paraId="498801AC">
            <w:pPr>
              <w:shd w:val="clea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1090" w:type="pct"/>
            <w:shd w:val="clear" w:color="auto" w:fill="auto"/>
            <w:vAlign w:val="center"/>
          </w:tcPr>
          <w:p w14:paraId="01B50A11">
            <w:pPr>
              <w:shd w:val="clea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场布模型信息</w:t>
            </w:r>
          </w:p>
        </w:tc>
        <w:tc>
          <w:tcPr>
            <w:tcW w:w="3469" w:type="pct"/>
            <w:shd w:val="clear" w:color="auto" w:fill="auto"/>
            <w:vAlign w:val="center"/>
          </w:tcPr>
          <w:p w14:paraId="194FD4D7">
            <w:pPr>
              <w:shd w:val="clea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场地地形、施工道路、临建设施、施工机械与设备、材料堆场、水电管网、绿化与景观设施、安全设施与标识</w:t>
            </w:r>
          </w:p>
        </w:tc>
      </w:tr>
      <w:tr w14:paraId="54BDF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24B55FB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090" w:type="pct"/>
            <w:vAlign w:val="center"/>
          </w:tcPr>
          <w:p w14:paraId="5D25017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建筑模型信息</w:t>
            </w:r>
          </w:p>
        </w:tc>
        <w:tc>
          <w:tcPr>
            <w:tcW w:w="3469" w:type="pct"/>
            <w:vAlign w:val="center"/>
          </w:tcPr>
          <w:p w14:paraId="6FB6D95F">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建筑墙、楼板、建筑柱、栏杆/栏板、建筑楼梯、阳台、雨篷、门、洞口、窗、坡屋顶、平屋顶、台阶、机动车停车位、坡道等构件信息</w:t>
            </w:r>
          </w:p>
        </w:tc>
      </w:tr>
      <w:tr w14:paraId="2D1B1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17C0AD94">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1090" w:type="pct"/>
            <w:vAlign w:val="center"/>
          </w:tcPr>
          <w:p w14:paraId="55CFB34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结构模型信息（现浇钢筋混凝土）</w:t>
            </w:r>
          </w:p>
        </w:tc>
        <w:tc>
          <w:tcPr>
            <w:tcW w:w="3469" w:type="pct"/>
            <w:vAlign w:val="center"/>
          </w:tcPr>
          <w:p w14:paraId="1C1D5A3A">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独立基础、条形基础、垫层、桩承台、桩基础、基础梁、基础底板、地下围护墙和基坑支护桩、梁、结构柱、斜杆、结构墙、结构板、悬挑板、结构楼梯等构件信息</w:t>
            </w:r>
          </w:p>
        </w:tc>
      </w:tr>
      <w:tr w14:paraId="481AE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031D2BF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1090" w:type="pct"/>
            <w:vAlign w:val="center"/>
          </w:tcPr>
          <w:p w14:paraId="112C1000">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结构模型信息（装配式混凝土结构）</w:t>
            </w:r>
          </w:p>
        </w:tc>
        <w:tc>
          <w:tcPr>
            <w:tcW w:w="3469" w:type="pct"/>
            <w:vAlign w:val="center"/>
          </w:tcPr>
          <w:p w14:paraId="626E9A1B">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预制梁/叠合梁、预制柱、预制墙体、预制叠合板、预制楼梯和其他预制构件等构件信息</w:t>
            </w:r>
          </w:p>
        </w:tc>
      </w:tr>
      <w:tr w14:paraId="58AA7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4A343CF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1090" w:type="pct"/>
            <w:vAlign w:val="center"/>
          </w:tcPr>
          <w:p w14:paraId="5112B6A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结构模型信息（钢结构）</w:t>
            </w:r>
          </w:p>
        </w:tc>
        <w:tc>
          <w:tcPr>
            <w:tcW w:w="3469" w:type="pct"/>
            <w:vAlign w:val="center"/>
          </w:tcPr>
          <w:p w14:paraId="55F5FAFC">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钢梁、钢柱、钢桁架、钢网架、钢檩条、拉索、膜、钢支撑、钢结构连接节点和钢结构连接附件等构件信息</w:t>
            </w:r>
          </w:p>
        </w:tc>
      </w:tr>
      <w:tr w14:paraId="4C95C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1EEFEA1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1090" w:type="pct"/>
            <w:vAlign w:val="center"/>
          </w:tcPr>
          <w:p w14:paraId="74F40A9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给排水模型信息</w:t>
            </w:r>
          </w:p>
        </w:tc>
        <w:tc>
          <w:tcPr>
            <w:tcW w:w="3469" w:type="pct"/>
            <w:vAlign w:val="center"/>
          </w:tcPr>
          <w:p w14:paraId="5147DA7D">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给排水水管、给排水水管连接件、给排水消防水箱、给排水组合消火栓箱、给排水消火栓、给排水水泵接合器和给排水消防喷头等构件信息</w:t>
            </w:r>
          </w:p>
        </w:tc>
      </w:tr>
      <w:tr w14:paraId="64143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285D3BAF">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7</w:t>
            </w:r>
          </w:p>
        </w:tc>
        <w:tc>
          <w:tcPr>
            <w:tcW w:w="1090" w:type="pct"/>
            <w:vAlign w:val="center"/>
          </w:tcPr>
          <w:p w14:paraId="1BC76CB0">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电气模型信息</w:t>
            </w:r>
          </w:p>
        </w:tc>
        <w:tc>
          <w:tcPr>
            <w:tcW w:w="3469" w:type="pct"/>
            <w:vAlign w:val="center"/>
          </w:tcPr>
          <w:p w14:paraId="4CA153AF">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电气总体、机电楼层、机电管道、机电管道连接件、机电发电设备、机电用电设备、智能化设备、线缆、线缆桥架、线缆敷设配件等构件信息、机电构件与楼层关联关系信息和机电连接关系信息</w:t>
            </w:r>
          </w:p>
        </w:tc>
      </w:tr>
      <w:tr w14:paraId="47D81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77E0BCDD">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8</w:t>
            </w:r>
          </w:p>
        </w:tc>
        <w:tc>
          <w:tcPr>
            <w:tcW w:w="1090" w:type="pct"/>
            <w:vAlign w:val="center"/>
          </w:tcPr>
          <w:p w14:paraId="03BA743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暖通模型信息</w:t>
            </w:r>
          </w:p>
        </w:tc>
        <w:tc>
          <w:tcPr>
            <w:tcW w:w="3469" w:type="pct"/>
            <w:vAlign w:val="center"/>
          </w:tcPr>
          <w:p w14:paraId="2309BE59">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暖通风管、暖通风机、暖通风口、暖通组合空调机组和暖通组合空调机组单元等构件信息</w:t>
            </w:r>
          </w:p>
        </w:tc>
      </w:tr>
      <w:tr w14:paraId="376DD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48111C4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9</w:t>
            </w:r>
          </w:p>
        </w:tc>
        <w:tc>
          <w:tcPr>
            <w:tcW w:w="1090" w:type="pct"/>
            <w:vAlign w:val="center"/>
          </w:tcPr>
          <w:p w14:paraId="537737E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园林景观模型信息</w:t>
            </w:r>
          </w:p>
        </w:tc>
        <w:tc>
          <w:tcPr>
            <w:tcW w:w="3469" w:type="pct"/>
            <w:vAlign w:val="center"/>
          </w:tcPr>
          <w:p w14:paraId="1FA927F0">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景观与绿化总体、植被、树池、树坑板和景观小品等构件信息</w:t>
            </w:r>
          </w:p>
        </w:tc>
      </w:tr>
      <w:tr w14:paraId="78549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0BA20CD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10</w:t>
            </w:r>
          </w:p>
        </w:tc>
        <w:tc>
          <w:tcPr>
            <w:tcW w:w="1090" w:type="pct"/>
            <w:vAlign w:val="center"/>
          </w:tcPr>
          <w:p w14:paraId="62D293AD">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装饰装修模型信息</w:t>
            </w:r>
          </w:p>
        </w:tc>
        <w:tc>
          <w:tcPr>
            <w:tcW w:w="3469" w:type="pct"/>
            <w:vAlign w:val="center"/>
          </w:tcPr>
          <w:p w14:paraId="43784750">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装饰装修工程总体、基本构件、连接构件、设备电器等构件信息、构件与空间关联信息</w:t>
            </w:r>
          </w:p>
        </w:tc>
      </w:tr>
      <w:tr w14:paraId="79AF4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40" w:type="pct"/>
            <w:vAlign w:val="center"/>
          </w:tcPr>
          <w:p w14:paraId="614CD2A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11</w:t>
            </w:r>
          </w:p>
        </w:tc>
        <w:tc>
          <w:tcPr>
            <w:tcW w:w="1090" w:type="pct"/>
            <w:vAlign w:val="center"/>
          </w:tcPr>
          <w:p w14:paraId="5B3AC575">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幕墙模型信息</w:t>
            </w:r>
          </w:p>
        </w:tc>
        <w:tc>
          <w:tcPr>
            <w:tcW w:w="3469" w:type="pct"/>
            <w:vAlign w:val="center"/>
          </w:tcPr>
          <w:p w14:paraId="78B60373">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嵌板、主要支撑构件、配件等构件信息</w:t>
            </w:r>
          </w:p>
        </w:tc>
      </w:tr>
      <w:tr w14:paraId="39C7C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440" w:type="pct"/>
            <w:vAlign w:val="center"/>
          </w:tcPr>
          <w:p w14:paraId="5523838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12</w:t>
            </w:r>
          </w:p>
        </w:tc>
        <w:tc>
          <w:tcPr>
            <w:tcW w:w="1090" w:type="pct"/>
            <w:vAlign w:val="center"/>
          </w:tcPr>
          <w:p w14:paraId="4E79F7DC">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其他模型信息</w:t>
            </w:r>
          </w:p>
        </w:tc>
        <w:tc>
          <w:tcPr>
            <w:tcW w:w="3469" w:type="pct"/>
            <w:vAlign w:val="center"/>
          </w:tcPr>
          <w:p w14:paraId="38268BA3">
            <w:pPr>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措施设施、施工安全、材料加工、临建设施、施工器械、其他临建构件等施工阶段需补充的其他模型、构件信息</w:t>
            </w:r>
          </w:p>
        </w:tc>
      </w:tr>
    </w:tbl>
    <w:p w14:paraId="4061D49F">
      <w:pPr>
        <w:spacing w:before="156" w:after="156"/>
        <w:ind w:firstLine="0" w:firstLineChars="0"/>
        <w:rPr>
          <w:rFonts w:cs="Times New Roman"/>
          <w:bCs/>
        </w:rPr>
      </w:pPr>
      <w:r>
        <w:rPr>
          <w:rFonts w:cs="Times New Roman"/>
          <w:b/>
        </w:rPr>
        <w:t>4.</w:t>
      </w:r>
      <w:r>
        <w:rPr>
          <w:rFonts w:hint="eastAsia" w:cs="Times New Roman"/>
          <w:b/>
        </w:rPr>
        <w:t>4</w:t>
      </w:r>
      <w:r>
        <w:rPr>
          <w:rFonts w:cs="Times New Roman"/>
          <w:b/>
        </w:rPr>
        <w:t>.5</w:t>
      </w:r>
      <w:r>
        <w:rPr>
          <w:rFonts w:cs="Times New Roman"/>
          <w:bCs/>
        </w:rPr>
        <w:t xml:space="preserve">  施工</w:t>
      </w:r>
      <w:r>
        <w:rPr>
          <w:rFonts w:hint="eastAsia" w:cs="Times New Roman"/>
          <w:bCs/>
        </w:rPr>
        <w:t>阶段</w:t>
      </w:r>
      <w:r>
        <w:rPr>
          <w:rFonts w:cs="Times New Roman"/>
          <w:bCs/>
        </w:rPr>
        <w:t>应用成果</w:t>
      </w:r>
      <w:r>
        <w:rPr>
          <w:rFonts w:hint="eastAsia" w:cs="Times New Roman"/>
          <w:bCs/>
          <w:lang w:eastAsia="zh-CN"/>
        </w:rPr>
        <w:t>信息表项</w:t>
      </w:r>
      <w:r>
        <w:rPr>
          <w:rFonts w:cs="Times New Roman"/>
          <w:bCs/>
        </w:rPr>
        <w:t>组成</w:t>
      </w:r>
      <w:r>
        <w:rPr>
          <w:rFonts w:hint="eastAsia" w:cs="Times New Roman"/>
          <w:bCs/>
        </w:rPr>
        <w:t>宜</w:t>
      </w:r>
      <w:r>
        <w:rPr>
          <w:rFonts w:cs="Times New Roman"/>
          <w:bCs/>
        </w:rPr>
        <w:t>按表4.</w:t>
      </w:r>
      <w:r>
        <w:rPr>
          <w:rFonts w:hint="eastAsia" w:cs="Times New Roman"/>
          <w:bCs/>
        </w:rPr>
        <w:t>4</w:t>
      </w:r>
      <w:r>
        <w:rPr>
          <w:rFonts w:cs="Times New Roman"/>
          <w:bCs/>
        </w:rPr>
        <w:t>.5采用。</w:t>
      </w:r>
    </w:p>
    <w:p w14:paraId="0426A05F">
      <w:pPr>
        <w:spacing w:before="156" w:after="156"/>
        <w:ind w:firstLine="0" w:firstLineChars="0"/>
        <w:jc w:val="center"/>
        <w:rPr>
          <w:rFonts w:cs="Times New Roman"/>
          <w:b/>
          <w:sz w:val="21"/>
          <w:szCs w:val="21"/>
        </w:rPr>
      </w:pPr>
      <w:r>
        <w:rPr>
          <w:rFonts w:cs="Times New Roman"/>
          <w:b/>
          <w:sz w:val="21"/>
          <w:szCs w:val="21"/>
        </w:rPr>
        <w:t>表4.</w:t>
      </w:r>
      <w:r>
        <w:rPr>
          <w:rFonts w:hint="eastAsia" w:cs="Times New Roman"/>
          <w:b/>
          <w:sz w:val="21"/>
          <w:szCs w:val="21"/>
        </w:rPr>
        <w:t>4</w:t>
      </w:r>
      <w:r>
        <w:rPr>
          <w:rFonts w:cs="Times New Roman"/>
          <w:b/>
          <w:sz w:val="21"/>
          <w:szCs w:val="21"/>
        </w:rPr>
        <w:t>.5 施工</w:t>
      </w:r>
      <w:r>
        <w:rPr>
          <w:rFonts w:hint="eastAsia" w:cs="Times New Roman"/>
          <w:b/>
          <w:sz w:val="21"/>
          <w:szCs w:val="21"/>
        </w:rPr>
        <w:t>阶段</w:t>
      </w:r>
      <w:r>
        <w:rPr>
          <w:rFonts w:cs="Times New Roman"/>
          <w:b/>
          <w:sz w:val="21"/>
          <w:szCs w:val="21"/>
        </w:rPr>
        <w:t>应用成果</w:t>
      </w:r>
      <w:r>
        <w:rPr>
          <w:rFonts w:hint="eastAsia" w:cs="Times New Roman"/>
          <w:b/>
          <w:sz w:val="21"/>
          <w:szCs w:val="21"/>
          <w:lang w:val="en-US" w:eastAsia="zh-CN"/>
        </w:rPr>
        <w:t>信息</w:t>
      </w:r>
      <w:r>
        <w:rPr>
          <w:rFonts w:cs="Times New Roman"/>
          <w:b/>
          <w:sz w:val="21"/>
          <w:szCs w:val="21"/>
        </w:rPr>
        <w:t>组成</w:t>
      </w:r>
    </w:p>
    <w:tbl>
      <w:tblPr>
        <w:tblStyle w:val="18"/>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8"/>
        <w:gridCol w:w="455"/>
        <w:gridCol w:w="1120"/>
        <w:gridCol w:w="6126"/>
      </w:tblGrid>
      <w:tr w14:paraId="111EC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58E3105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924" w:type="pct"/>
            <w:gridSpan w:val="2"/>
            <w:vAlign w:val="center"/>
          </w:tcPr>
          <w:p w14:paraId="19F78DF0">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信息表项</w:t>
            </w:r>
          </w:p>
        </w:tc>
        <w:tc>
          <w:tcPr>
            <w:tcW w:w="3594" w:type="pct"/>
            <w:vAlign w:val="center"/>
          </w:tcPr>
          <w:p w14:paraId="490CF4F9">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应用成果</w:t>
            </w:r>
            <w:r>
              <w:rPr>
                <w:rFonts w:hint="eastAsia" w:ascii="宋体" w:hAnsi="宋体" w:cs="宋体"/>
                <w:sz w:val="21"/>
                <w:szCs w:val="21"/>
                <w:lang w:val="en-US" w:eastAsia="zh-CN"/>
              </w:rPr>
              <w:t>信息</w:t>
            </w:r>
            <w:r>
              <w:rPr>
                <w:rFonts w:hint="eastAsia" w:ascii="宋体" w:hAnsi="宋体" w:cs="宋体"/>
                <w:sz w:val="21"/>
                <w:szCs w:val="21"/>
              </w:rPr>
              <w:t>组成</w:t>
            </w:r>
          </w:p>
        </w:tc>
      </w:tr>
      <w:tr w14:paraId="16208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restart"/>
            <w:vAlign w:val="center"/>
          </w:tcPr>
          <w:p w14:paraId="64675C17">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67" w:type="pct"/>
            <w:vMerge w:val="restart"/>
            <w:tcBorders>
              <w:right w:val="single" w:color="auto" w:sz="4" w:space="0"/>
            </w:tcBorders>
            <w:vAlign w:val="center"/>
          </w:tcPr>
          <w:p w14:paraId="6C44DCC2">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总平面设计信息</w:t>
            </w:r>
          </w:p>
        </w:tc>
        <w:tc>
          <w:tcPr>
            <w:tcW w:w="657" w:type="pct"/>
            <w:tcBorders>
              <w:left w:val="single" w:color="auto" w:sz="4" w:space="0"/>
            </w:tcBorders>
            <w:vAlign w:val="center"/>
          </w:tcPr>
          <w:p w14:paraId="28D5E8B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建筑用地信息</w:t>
            </w:r>
          </w:p>
        </w:tc>
        <w:tc>
          <w:tcPr>
            <w:tcW w:w="3594" w:type="pct"/>
            <w:vAlign w:val="center"/>
          </w:tcPr>
          <w:p w14:paraId="314DF0E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分区用地名称、地块编号、用地性质、规划条件容积率、规划条件绿地率、保留室外自走式机动车数量、保留室外机械式机动车数量、保留室外非机动车面积（㎡）、保留室外装卸车位数量、保留室外大巴车位数量、保留室外出租车位数量、保留室外无障碍车位</w:t>
            </w:r>
            <w:r>
              <w:rPr>
                <w:rFonts w:hint="eastAsia" w:ascii="宋体" w:hAnsi="宋体" w:cs="宋体"/>
                <w:sz w:val="21"/>
                <w:szCs w:val="21"/>
                <w:lang w:eastAsia="zh-CN"/>
              </w:rPr>
              <w:t>数量</w:t>
            </w:r>
            <w:r>
              <w:rPr>
                <w:rFonts w:hint="eastAsia" w:ascii="宋体" w:hAnsi="宋体" w:cs="宋体"/>
                <w:sz w:val="21"/>
                <w:szCs w:val="21"/>
              </w:rPr>
              <w:t>、保留室外车位充电桩数量</w:t>
            </w:r>
          </w:p>
        </w:tc>
      </w:tr>
      <w:tr w14:paraId="7F513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continue"/>
            <w:vAlign w:val="center"/>
          </w:tcPr>
          <w:p w14:paraId="78F22D5E">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tcBorders>
              <w:right w:val="single" w:color="auto" w:sz="4" w:space="0"/>
            </w:tcBorders>
            <w:vAlign w:val="center"/>
          </w:tcPr>
          <w:p w14:paraId="7DC35E0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tcBorders>
              <w:left w:val="single" w:color="auto" w:sz="4" w:space="0"/>
            </w:tcBorders>
            <w:vAlign w:val="center"/>
          </w:tcPr>
          <w:p w14:paraId="4AFB9F3E">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用地红线信息</w:t>
            </w:r>
          </w:p>
        </w:tc>
        <w:tc>
          <w:tcPr>
            <w:tcW w:w="3594" w:type="pct"/>
            <w:vAlign w:val="center"/>
          </w:tcPr>
          <w:p w14:paraId="3218DFDF">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唯一标识码、赋值类型、界线类型、分区用地名称、绿地类型、绿地面积（㎡）</w:t>
            </w:r>
          </w:p>
        </w:tc>
      </w:tr>
      <w:tr w14:paraId="0ABF7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continue"/>
            <w:vAlign w:val="center"/>
          </w:tcPr>
          <w:p w14:paraId="6A1380D3">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tcBorders>
              <w:right w:val="single" w:color="auto" w:sz="4" w:space="0"/>
            </w:tcBorders>
            <w:vAlign w:val="center"/>
          </w:tcPr>
          <w:p w14:paraId="09421438">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tcBorders>
              <w:left w:val="single" w:color="auto" w:sz="4" w:space="0"/>
            </w:tcBorders>
            <w:vAlign w:val="center"/>
          </w:tcPr>
          <w:p w14:paraId="470E5B98">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绿化用地信息</w:t>
            </w:r>
          </w:p>
        </w:tc>
        <w:tc>
          <w:tcPr>
            <w:tcW w:w="3594" w:type="pct"/>
            <w:vAlign w:val="center"/>
          </w:tcPr>
          <w:p w14:paraId="0CDCB95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唯一标识码、分区用地名称、绿地类型、绿地面积（㎡）</w:t>
            </w:r>
          </w:p>
        </w:tc>
      </w:tr>
      <w:tr w14:paraId="46447C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continue"/>
            <w:vAlign w:val="center"/>
          </w:tcPr>
          <w:p w14:paraId="6D622617">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tcBorders>
              <w:right w:val="single" w:color="auto" w:sz="4" w:space="0"/>
            </w:tcBorders>
            <w:vAlign w:val="center"/>
          </w:tcPr>
          <w:p w14:paraId="695C3D09">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tcBorders>
              <w:left w:val="single" w:color="auto" w:sz="4" w:space="0"/>
            </w:tcBorders>
            <w:vAlign w:val="center"/>
          </w:tcPr>
          <w:p w14:paraId="129E65B4">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建筑退让信息</w:t>
            </w:r>
          </w:p>
        </w:tc>
        <w:tc>
          <w:tcPr>
            <w:tcW w:w="3594" w:type="pct"/>
            <w:vAlign w:val="center"/>
          </w:tcPr>
          <w:p w14:paraId="61B05F4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唯一标识码、界线类型、道路宽度、河道蓝线、保护区类型、电压等级、电缆位置、轨道交通类型</w:t>
            </w:r>
          </w:p>
        </w:tc>
      </w:tr>
      <w:tr w14:paraId="5130D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trPr>
        <w:tc>
          <w:tcPr>
            <w:tcW w:w="480" w:type="pct"/>
            <w:vMerge w:val="restart"/>
            <w:vAlign w:val="center"/>
          </w:tcPr>
          <w:p w14:paraId="4C77021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67" w:type="pct"/>
            <w:vMerge w:val="restart"/>
            <w:vAlign w:val="center"/>
          </w:tcPr>
          <w:p w14:paraId="0C9874CB">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专项分析与模拟信息</w:t>
            </w:r>
          </w:p>
        </w:tc>
        <w:tc>
          <w:tcPr>
            <w:tcW w:w="657" w:type="pct"/>
            <w:shd w:val="clear" w:color="auto" w:fill="auto"/>
            <w:vAlign w:val="center"/>
          </w:tcPr>
          <w:p w14:paraId="4FC53EF3">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eastAsia="宋体" w:cs="宋体"/>
                <w:kern w:val="2"/>
                <w:sz w:val="21"/>
                <w:szCs w:val="21"/>
                <w:lang w:val="en-US" w:eastAsia="zh-CN" w:bidi="ar-SA"/>
              </w:rPr>
            </w:pPr>
            <w:r>
              <w:rPr>
                <w:rFonts w:hint="eastAsia" w:ascii="宋体" w:hAnsi="宋体" w:cs="宋体"/>
                <w:sz w:val="21"/>
                <w:szCs w:val="21"/>
              </w:rPr>
              <w:t>施工方案模拟分析报告</w:t>
            </w:r>
          </w:p>
        </w:tc>
        <w:tc>
          <w:tcPr>
            <w:tcW w:w="3594" w:type="pct"/>
            <w:shd w:val="clear" w:color="auto" w:fill="auto"/>
            <w:vAlign w:val="center"/>
          </w:tcPr>
          <w:p w14:paraId="5D0CDAC0">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eastAsia="宋体" w:cs="宋体"/>
                <w:kern w:val="2"/>
                <w:sz w:val="21"/>
                <w:szCs w:val="21"/>
                <w:lang w:val="en-US" w:eastAsia="zh-CN" w:bidi="ar-SA"/>
              </w:rPr>
            </w:pPr>
            <w:r>
              <w:rPr>
                <w:rFonts w:hint="eastAsia" w:ascii="宋体" w:hAnsi="宋体" w:cs="宋体"/>
                <w:sz w:val="21"/>
                <w:szCs w:val="21"/>
              </w:rPr>
              <w:t>唯一标识码、工艺工法名称、设备机具数量、模拟动画</w:t>
            </w:r>
          </w:p>
        </w:tc>
      </w:tr>
      <w:tr w14:paraId="4BDFD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480" w:type="pct"/>
            <w:vMerge w:val="continue"/>
            <w:vAlign w:val="center"/>
          </w:tcPr>
          <w:p w14:paraId="59893828">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vAlign w:val="center"/>
          </w:tcPr>
          <w:p w14:paraId="003C2B34">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shd w:val="clear" w:color="auto" w:fill="auto"/>
            <w:vAlign w:val="center"/>
          </w:tcPr>
          <w:p w14:paraId="1F52271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eastAsia="宋体" w:cs="宋体"/>
                <w:kern w:val="2"/>
                <w:sz w:val="21"/>
                <w:szCs w:val="21"/>
                <w:lang w:val="en-US" w:eastAsia="zh-CN" w:bidi="ar-SA"/>
              </w:rPr>
            </w:pPr>
            <w:r>
              <w:rPr>
                <w:rFonts w:hint="eastAsia" w:ascii="宋体" w:hAnsi="宋体" w:cs="宋体"/>
                <w:sz w:val="21"/>
                <w:szCs w:val="21"/>
              </w:rPr>
              <w:t>场地临建分析报告</w:t>
            </w:r>
          </w:p>
        </w:tc>
        <w:tc>
          <w:tcPr>
            <w:tcW w:w="3594" w:type="pct"/>
            <w:shd w:val="clear" w:color="auto" w:fill="auto"/>
            <w:vAlign w:val="center"/>
          </w:tcPr>
          <w:p w14:paraId="2DB32003">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left"/>
              <w:rPr>
                <w:rFonts w:hint="eastAsia" w:ascii="宋体" w:hAnsi="宋体" w:eastAsia="宋体" w:cs="宋体"/>
                <w:kern w:val="2"/>
                <w:sz w:val="21"/>
                <w:szCs w:val="21"/>
                <w:lang w:val="en-US" w:eastAsia="zh-CN" w:bidi="ar-SA"/>
              </w:rPr>
            </w:pPr>
            <w:r>
              <w:rPr>
                <w:rFonts w:hint="eastAsia" w:ascii="宋体" w:hAnsi="宋体" w:cs="宋体"/>
                <w:sz w:val="21"/>
                <w:szCs w:val="21"/>
              </w:rPr>
              <w:t>唯一标识码、场地位置、面积</w:t>
            </w:r>
          </w:p>
        </w:tc>
      </w:tr>
      <w:tr w14:paraId="2EED2C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2FE15BEB">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924" w:type="pct"/>
            <w:gridSpan w:val="2"/>
            <w:vAlign w:val="center"/>
          </w:tcPr>
          <w:p w14:paraId="7390029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场地布置</w:t>
            </w:r>
          </w:p>
          <w:p w14:paraId="76C11C5F">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3594" w:type="pct"/>
            <w:vAlign w:val="center"/>
          </w:tcPr>
          <w:p w14:paraId="696A5288">
            <w:pPr>
              <w:pStyle w:val="7"/>
              <w:keepNext w:val="0"/>
              <w:keepLines w:val="0"/>
              <w:pageBreakBefore w:val="0"/>
              <w:widowControl w:val="0"/>
              <w:kinsoku/>
              <w:wordWrap/>
              <w:overflowPunct/>
              <w:topLinePunct w:val="0"/>
              <w:autoSpaceDE/>
              <w:autoSpaceDN/>
              <w:bidi w:val="0"/>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唯一标识码、编码、场地分区名称、场地位置、场地分区区域面积（㎡）、分区描述、最大长度（mm）、最大宽度（mm）、备注</w:t>
            </w:r>
          </w:p>
        </w:tc>
      </w:tr>
      <w:tr w14:paraId="1FC70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5BD14FC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924" w:type="pct"/>
            <w:gridSpan w:val="2"/>
            <w:vAlign w:val="center"/>
          </w:tcPr>
          <w:p w14:paraId="07EEED0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模型会审</w:t>
            </w:r>
          </w:p>
          <w:p w14:paraId="7408B814">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记录信息</w:t>
            </w:r>
          </w:p>
        </w:tc>
        <w:tc>
          <w:tcPr>
            <w:tcW w:w="3594" w:type="pct"/>
            <w:vAlign w:val="center"/>
          </w:tcPr>
          <w:p w14:paraId="0D8AC57D">
            <w:pPr>
              <w:pStyle w:val="69"/>
              <w:keepNext w:val="0"/>
              <w:keepLines w:val="0"/>
              <w:pageBreakBefore w:val="0"/>
              <w:widowControl w:val="0"/>
              <w:kinsoku/>
              <w:wordWrap/>
              <w:overflowPunct/>
              <w:topLinePunct w:val="0"/>
              <w:autoSpaceDE/>
              <w:autoSpaceDN/>
              <w:bidi w:val="0"/>
              <w:spacing w:before="156" w:after="156" w:line="240" w:lineRule="auto"/>
              <w:ind w:left="0" w:right="626"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唯一标识码、编码、模型名称、评审人员、评审时间、评审内容、评审结果、问题描述、解决方案、记录人员、记录时间</w:t>
            </w:r>
          </w:p>
        </w:tc>
      </w:tr>
      <w:tr w14:paraId="6F73A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3172EC35">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924" w:type="pct"/>
            <w:gridSpan w:val="2"/>
            <w:vAlign w:val="center"/>
          </w:tcPr>
          <w:p w14:paraId="20DC6A2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进度管理应用成果信息</w:t>
            </w:r>
          </w:p>
        </w:tc>
        <w:tc>
          <w:tcPr>
            <w:tcW w:w="3594" w:type="pct"/>
            <w:vAlign w:val="center"/>
          </w:tcPr>
          <w:p w14:paraId="42E1E74F">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唯一标识码、编码、节点名称、工期、开始时间、完成时间、关联构件名称、关联构件</w:t>
            </w:r>
            <w:r>
              <w:rPr>
                <w:rFonts w:hint="eastAsia" w:ascii="宋体" w:hAnsi="宋体" w:eastAsia="宋体" w:cs="宋体"/>
                <w:sz w:val="21"/>
                <w:szCs w:val="21"/>
                <w:lang w:val="en-US" w:eastAsia="zh-CN"/>
              </w:rPr>
              <w:t>Id</w:t>
            </w:r>
            <w:r>
              <w:rPr>
                <w:rFonts w:hint="eastAsia" w:ascii="宋体" w:hAnsi="宋体" w:eastAsia="宋体" w:cs="宋体"/>
                <w:sz w:val="21"/>
                <w:szCs w:val="21"/>
              </w:rPr>
              <w:t>、资源名称</w:t>
            </w:r>
          </w:p>
        </w:tc>
      </w:tr>
      <w:tr w14:paraId="25DAD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43BDB0C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924" w:type="pct"/>
            <w:gridSpan w:val="2"/>
            <w:vAlign w:val="center"/>
          </w:tcPr>
          <w:p w14:paraId="5F348502">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质量与安全管理应用成果信息</w:t>
            </w:r>
          </w:p>
        </w:tc>
        <w:tc>
          <w:tcPr>
            <w:tcW w:w="3594" w:type="pct"/>
            <w:vAlign w:val="center"/>
          </w:tcPr>
          <w:p w14:paraId="7CDF8413">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唯一标识码、编码、节点名称、应用成果文件名称、应用成果文件类型、所属楼层、关联构件名称、关联构件Id、内容描述、解决方案、处理意见、处理结果、责任人员、编制人员、提交时间</w:t>
            </w:r>
          </w:p>
        </w:tc>
      </w:tr>
      <w:tr w14:paraId="679C1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56AD8E89">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7</w:t>
            </w:r>
          </w:p>
        </w:tc>
        <w:tc>
          <w:tcPr>
            <w:tcW w:w="924" w:type="pct"/>
            <w:gridSpan w:val="2"/>
            <w:vAlign w:val="center"/>
          </w:tcPr>
          <w:p w14:paraId="5B420B2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成本管理应用成果信息</w:t>
            </w:r>
          </w:p>
        </w:tc>
        <w:tc>
          <w:tcPr>
            <w:tcW w:w="3594" w:type="pct"/>
            <w:vAlign w:val="center"/>
          </w:tcPr>
          <w:p w14:paraId="0FB32B98">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唯一标识码、编码、节点名称、所属楼层、关联构件名称、关联构件Id、资源名称、总说明、编制依据、备注、费用类型、费用名称、计算值、计算基础（计量单位）、结果值、内容描述、编制人员、提交时间</w:t>
            </w:r>
          </w:p>
        </w:tc>
      </w:tr>
      <w:tr w14:paraId="1EA6D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6A4AB691">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8</w:t>
            </w:r>
          </w:p>
        </w:tc>
        <w:tc>
          <w:tcPr>
            <w:tcW w:w="924" w:type="pct"/>
            <w:gridSpan w:val="2"/>
            <w:vAlign w:val="center"/>
          </w:tcPr>
          <w:p w14:paraId="4F4ACC5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碰撞检查应用成果信息</w:t>
            </w:r>
          </w:p>
        </w:tc>
        <w:tc>
          <w:tcPr>
            <w:tcW w:w="3594" w:type="pct"/>
          </w:tcPr>
          <w:p w14:paraId="038EF703">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both"/>
              <w:rPr>
                <w:rFonts w:hint="eastAsia" w:ascii="宋体" w:hAnsi="宋体" w:eastAsia="宋体" w:cs="宋体"/>
                <w:sz w:val="21"/>
                <w:szCs w:val="21"/>
              </w:rPr>
            </w:pPr>
            <w:r>
              <w:rPr>
                <w:rFonts w:hint="eastAsia" w:ascii="宋体" w:hAnsi="宋体" w:eastAsia="宋体" w:cs="宋体"/>
                <w:sz w:val="21"/>
                <w:szCs w:val="21"/>
              </w:rPr>
              <w:t>唯一标识码、报告名称、报告编码、专业、问题描述、问题类型、楼层标高、轴号、关联构件名称、关联构件Id、优化建议、编制人员、编制时间、答复意见、答复人、记录时间</w:t>
            </w:r>
          </w:p>
        </w:tc>
      </w:tr>
      <w:tr w14:paraId="79BA1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Align w:val="center"/>
          </w:tcPr>
          <w:p w14:paraId="02BDEE23">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9</w:t>
            </w:r>
          </w:p>
        </w:tc>
        <w:tc>
          <w:tcPr>
            <w:tcW w:w="924" w:type="pct"/>
            <w:gridSpan w:val="2"/>
            <w:vAlign w:val="center"/>
          </w:tcPr>
          <w:p w14:paraId="4B6566C4">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净高分析</w:t>
            </w:r>
          </w:p>
          <w:p w14:paraId="0C2453F0">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报告信息</w:t>
            </w:r>
          </w:p>
        </w:tc>
        <w:tc>
          <w:tcPr>
            <w:tcW w:w="3594" w:type="pct"/>
            <w:vAlign w:val="center"/>
          </w:tcPr>
          <w:p w14:paraId="68B4C36D">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唯一标识码、报告名称、报告编码、专业、问题描述、问题类型、楼层标高关联构件名称、关联构件Id、优化建议、编制人员、编制时间、答复意见、答复人、记录时间</w:t>
            </w:r>
          </w:p>
        </w:tc>
      </w:tr>
      <w:tr w14:paraId="4D569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restart"/>
            <w:vAlign w:val="center"/>
          </w:tcPr>
          <w:p w14:paraId="722B161F">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10</w:t>
            </w:r>
          </w:p>
        </w:tc>
        <w:tc>
          <w:tcPr>
            <w:tcW w:w="267" w:type="pct"/>
            <w:vMerge w:val="restart"/>
            <w:tcBorders>
              <w:right w:val="single" w:color="auto" w:sz="4" w:space="0"/>
            </w:tcBorders>
            <w:vAlign w:val="center"/>
          </w:tcPr>
          <w:p w14:paraId="79FC9D77">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主要材料/设备产品信息</w:t>
            </w:r>
          </w:p>
        </w:tc>
        <w:tc>
          <w:tcPr>
            <w:tcW w:w="657" w:type="pct"/>
            <w:tcBorders>
              <w:left w:val="single" w:color="auto" w:sz="4" w:space="0"/>
            </w:tcBorders>
            <w:vAlign w:val="center"/>
          </w:tcPr>
          <w:p w14:paraId="6B31E852">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主要材料/设备基本信息</w:t>
            </w:r>
          </w:p>
        </w:tc>
        <w:tc>
          <w:tcPr>
            <w:tcW w:w="3594" w:type="pct"/>
            <w:vAlign w:val="center"/>
          </w:tcPr>
          <w:p w14:paraId="74AA88FF">
            <w:pPr>
              <w:pStyle w:val="69"/>
              <w:keepNext w:val="0"/>
              <w:keepLines w:val="0"/>
              <w:pageBreakBefore w:val="0"/>
              <w:widowControl w:val="0"/>
              <w:kinsoku/>
              <w:wordWrap/>
              <w:overflowPunct/>
              <w:topLinePunct w:val="0"/>
              <w:autoSpaceDE/>
              <w:autoSpaceDN/>
              <w:bidi w:val="0"/>
              <w:spacing w:before="156" w:after="156" w:line="240" w:lineRule="auto"/>
              <w:ind w:left="0"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唯一标识码、编码、备注、材料名称、关联构件名称、关联构件Id、采购合同编号、厂家、出厂检测结果、出厂批次、出厂编号、材料/设备参数描述、材料/设备技术参数描述</w:t>
            </w:r>
          </w:p>
        </w:tc>
      </w:tr>
      <w:tr w14:paraId="055F91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continue"/>
            <w:vAlign w:val="center"/>
          </w:tcPr>
          <w:p w14:paraId="0F0CF05F">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tcBorders>
              <w:right w:val="single" w:color="auto" w:sz="4" w:space="0"/>
            </w:tcBorders>
            <w:vAlign w:val="center"/>
          </w:tcPr>
          <w:p w14:paraId="7E6E36F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tcBorders>
              <w:left w:val="single" w:color="auto" w:sz="4" w:space="0"/>
            </w:tcBorders>
            <w:vAlign w:val="center"/>
          </w:tcPr>
          <w:p w14:paraId="654076E1">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采购合同信息</w:t>
            </w:r>
          </w:p>
        </w:tc>
        <w:tc>
          <w:tcPr>
            <w:tcW w:w="3594" w:type="pct"/>
            <w:vAlign w:val="center"/>
          </w:tcPr>
          <w:p w14:paraId="751D7006">
            <w:pPr>
              <w:keepNext w:val="0"/>
              <w:keepLines w:val="0"/>
              <w:pageBreakBefore w:val="0"/>
              <w:widowControl w:val="0"/>
              <w:kinsoku/>
              <w:wordWrap/>
              <w:overflowPunct/>
              <w:topLinePunct w:val="0"/>
              <w:autoSpaceDE/>
              <w:autoSpaceDN/>
              <w:bidi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编码、备注、材料/设备名称、采购合同名称、采购合同编号、供应商、采购价格、采购数量、材料/设备检验报告、材料/设备质量证明书、采购日期、进场日期、进场数量、进场验收人员名单、进场验收结果</w:t>
            </w:r>
          </w:p>
        </w:tc>
      </w:tr>
      <w:tr w14:paraId="50BBA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480" w:type="pct"/>
            <w:vMerge w:val="continue"/>
            <w:vAlign w:val="center"/>
          </w:tcPr>
          <w:p w14:paraId="3E63E76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267" w:type="pct"/>
            <w:vMerge w:val="continue"/>
            <w:tcBorders>
              <w:right w:val="single" w:color="auto" w:sz="4" w:space="0"/>
            </w:tcBorders>
            <w:vAlign w:val="center"/>
          </w:tcPr>
          <w:p w14:paraId="19B1EAB6">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p>
        </w:tc>
        <w:tc>
          <w:tcPr>
            <w:tcW w:w="657" w:type="pct"/>
            <w:tcBorders>
              <w:left w:val="single" w:color="auto" w:sz="4" w:space="0"/>
            </w:tcBorders>
            <w:vAlign w:val="center"/>
          </w:tcPr>
          <w:p w14:paraId="06E65C85">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供应商</w:t>
            </w:r>
          </w:p>
          <w:p w14:paraId="5985FEBD">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信息</w:t>
            </w:r>
          </w:p>
        </w:tc>
        <w:tc>
          <w:tcPr>
            <w:tcW w:w="3594" w:type="pct"/>
            <w:vAlign w:val="center"/>
          </w:tcPr>
          <w:p w14:paraId="048A8276">
            <w:pPr>
              <w:keepNext w:val="0"/>
              <w:keepLines w:val="0"/>
              <w:pageBreakBefore w:val="0"/>
              <w:widowControl w:val="0"/>
              <w:kinsoku/>
              <w:wordWrap/>
              <w:overflowPunct/>
              <w:topLinePunct w:val="0"/>
              <w:autoSpaceDE/>
              <w:autoSpaceDN/>
              <w:bidi w:val="0"/>
              <w:spacing w:before="156" w:after="156" w:line="240" w:lineRule="auto"/>
              <w:ind w:firstLine="0" w:firstLineChars="0"/>
              <w:jc w:val="left"/>
              <w:rPr>
                <w:rFonts w:hint="eastAsia" w:ascii="宋体" w:hAnsi="宋体" w:cs="宋体"/>
                <w:sz w:val="21"/>
                <w:szCs w:val="21"/>
              </w:rPr>
            </w:pPr>
            <w:r>
              <w:rPr>
                <w:rFonts w:hint="eastAsia" w:ascii="宋体" w:hAnsi="宋体" w:cs="宋体"/>
                <w:sz w:val="21"/>
                <w:szCs w:val="21"/>
              </w:rPr>
              <w:t>唯一标识码、编码、备注、供应商、负责人、联系地址、联系电话、联系邮箱</w:t>
            </w:r>
          </w:p>
        </w:tc>
      </w:tr>
      <w:tr w14:paraId="7F241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 w:hRule="atLeast"/>
        </w:trPr>
        <w:tc>
          <w:tcPr>
            <w:tcW w:w="480" w:type="pct"/>
            <w:vAlign w:val="center"/>
          </w:tcPr>
          <w:p w14:paraId="4B270E16">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11</w:t>
            </w:r>
          </w:p>
        </w:tc>
        <w:tc>
          <w:tcPr>
            <w:tcW w:w="924" w:type="pct"/>
            <w:gridSpan w:val="2"/>
            <w:vAlign w:val="center"/>
          </w:tcPr>
          <w:p w14:paraId="3454334A">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其他应用</w:t>
            </w:r>
          </w:p>
          <w:p w14:paraId="1D407ACC">
            <w:pPr>
              <w:keepNext w:val="0"/>
              <w:keepLines w:val="0"/>
              <w:pageBreakBefore w:val="0"/>
              <w:widowControl w:val="0"/>
              <w:kinsoku/>
              <w:wordWrap/>
              <w:overflowPunct/>
              <w:topLinePunct w:val="0"/>
              <w:autoSpaceDE/>
              <w:autoSpaceDN/>
              <w:bidi w:val="0"/>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成果信息</w:t>
            </w:r>
          </w:p>
        </w:tc>
        <w:tc>
          <w:tcPr>
            <w:tcW w:w="3594" w:type="pct"/>
            <w:vAlign w:val="center"/>
          </w:tcPr>
          <w:p w14:paraId="4DB3A093">
            <w:pPr>
              <w:pStyle w:val="69"/>
              <w:keepNext w:val="0"/>
              <w:keepLines w:val="0"/>
              <w:pageBreakBefore w:val="0"/>
              <w:widowControl w:val="0"/>
              <w:kinsoku/>
              <w:wordWrap/>
              <w:overflowPunct/>
              <w:topLinePunct w:val="0"/>
              <w:autoSpaceDE/>
              <w:autoSpaceDN/>
              <w:bidi w:val="0"/>
              <w:spacing w:before="156" w:after="156" w:line="240" w:lineRule="auto"/>
              <w:ind w:left="0" w:right="624" w:firstLine="0" w:firstLineChars="0"/>
              <w:jc w:val="left"/>
              <w:rPr>
                <w:rFonts w:hint="eastAsia" w:ascii="宋体" w:hAnsi="宋体" w:eastAsia="宋体" w:cs="宋体"/>
                <w:sz w:val="21"/>
                <w:szCs w:val="21"/>
              </w:rPr>
            </w:pPr>
            <w:r>
              <w:rPr>
                <w:rFonts w:hint="eastAsia" w:ascii="宋体" w:hAnsi="宋体" w:eastAsia="宋体" w:cs="宋体"/>
                <w:sz w:val="21"/>
                <w:szCs w:val="21"/>
              </w:rPr>
              <w:t>唯一标识码、编码、备注、应用类型、应用成果文件名称、应用成果文件类型、版本号、内容描述、编制人员、提交时间</w:t>
            </w:r>
          </w:p>
        </w:tc>
      </w:tr>
    </w:tbl>
    <w:p w14:paraId="26ABF287">
      <w:pPr>
        <w:spacing w:before="156" w:after="156"/>
        <w:ind w:firstLine="0" w:firstLineChars="0"/>
        <w:rPr>
          <w:rFonts w:cs="Times New Roman"/>
        </w:rPr>
      </w:pPr>
      <w:r>
        <w:rPr>
          <w:rFonts w:cs="Times New Roman"/>
          <w:b/>
        </w:rPr>
        <w:t>4.</w:t>
      </w:r>
      <w:r>
        <w:rPr>
          <w:rFonts w:hint="eastAsia" w:cs="Times New Roman"/>
          <w:b/>
        </w:rPr>
        <w:t>4</w:t>
      </w:r>
      <w:r>
        <w:rPr>
          <w:rFonts w:cs="Times New Roman"/>
          <w:b/>
        </w:rPr>
        <w:t>.6</w:t>
      </w:r>
      <w:r>
        <w:rPr>
          <w:rFonts w:cs="Times New Roman"/>
        </w:rPr>
        <w:t xml:space="preserve">  施工</w:t>
      </w:r>
      <w:r>
        <w:rPr>
          <w:rFonts w:hint="eastAsia" w:cs="Times New Roman"/>
        </w:rPr>
        <w:t>阶段</w:t>
      </w:r>
      <w:r>
        <w:rPr>
          <w:rFonts w:cs="Times New Roman"/>
        </w:rPr>
        <w:t>其他</w:t>
      </w:r>
      <w:r>
        <w:rPr>
          <w:rFonts w:hint="eastAsia" w:cs="Times New Roman"/>
          <w:lang w:eastAsia="zh-CN"/>
        </w:rPr>
        <w:t>信息表项</w:t>
      </w:r>
      <w:r>
        <w:rPr>
          <w:rFonts w:cs="Times New Roman"/>
        </w:rPr>
        <w:t>组成</w:t>
      </w:r>
      <w:r>
        <w:rPr>
          <w:rFonts w:hint="eastAsia" w:cs="Times New Roman"/>
        </w:rPr>
        <w:t>宜</w:t>
      </w:r>
      <w:r>
        <w:rPr>
          <w:rFonts w:cs="Times New Roman"/>
        </w:rPr>
        <w:t>按表</w:t>
      </w:r>
      <w:r>
        <w:rPr>
          <w:rFonts w:cs="Times New Roman"/>
          <w:bCs/>
        </w:rPr>
        <w:t>4.</w:t>
      </w:r>
      <w:r>
        <w:rPr>
          <w:rFonts w:hint="eastAsia" w:cs="Times New Roman"/>
          <w:bCs/>
        </w:rPr>
        <w:t>4</w:t>
      </w:r>
      <w:r>
        <w:rPr>
          <w:rFonts w:cs="Times New Roman"/>
          <w:bCs/>
        </w:rPr>
        <w:t>.6</w:t>
      </w:r>
      <w:r>
        <w:rPr>
          <w:rFonts w:cs="Times New Roman"/>
        </w:rPr>
        <w:t>采用。</w:t>
      </w:r>
    </w:p>
    <w:p w14:paraId="2D83F9F0">
      <w:pPr>
        <w:spacing w:before="156" w:after="156"/>
        <w:ind w:firstLine="422"/>
        <w:jc w:val="center"/>
        <w:rPr>
          <w:rFonts w:cs="Times New Roman"/>
          <w:b/>
          <w:bCs/>
          <w:sz w:val="21"/>
          <w:szCs w:val="21"/>
        </w:rPr>
      </w:pPr>
      <w:r>
        <w:rPr>
          <w:rFonts w:cs="Times New Roman"/>
          <w:b/>
          <w:bCs/>
          <w:sz w:val="21"/>
          <w:szCs w:val="21"/>
        </w:rPr>
        <w:t>表4.</w:t>
      </w:r>
      <w:r>
        <w:rPr>
          <w:rFonts w:hint="eastAsia" w:cs="Times New Roman"/>
          <w:b/>
          <w:bCs/>
          <w:sz w:val="21"/>
          <w:szCs w:val="21"/>
        </w:rPr>
        <w:t>4</w:t>
      </w:r>
      <w:r>
        <w:rPr>
          <w:rFonts w:cs="Times New Roman"/>
          <w:b/>
          <w:bCs/>
          <w:sz w:val="21"/>
          <w:szCs w:val="21"/>
        </w:rPr>
        <w:t>.6 施工</w:t>
      </w:r>
      <w:r>
        <w:rPr>
          <w:rFonts w:hint="eastAsia" w:cs="Times New Roman"/>
          <w:b/>
          <w:bCs/>
          <w:sz w:val="21"/>
          <w:szCs w:val="21"/>
        </w:rPr>
        <w:t>阶段</w:t>
      </w:r>
      <w:r>
        <w:rPr>
          <w:rFonts w:cs="Times New Roman"/>
          <w:b/>
          <w:bCs/>
          <w:sz w:val="21"/>
          <w:szCs w:val="21"/>
        </w:rPr>
        <w:t>其他</w:t>
      </w:r>
      <w:r>
        <w:rPr>
          <w:rFonts w:hint="eastAsia" w:cs="Times New Roman"/>
          <w:b/>
          <w:bCs/>
          <w:sz w:val="21"/>
          <w:szCs w:val="21"/>
          <w:lang w:val="en-US" w:eastAsia="zh-CN"/>
        </w:rPr>
        <w:t>信息</w:t>
      </w:r>
      <w:r>
        <w:rPr>
          <w:rFonts w:cs="Times New Roman"/>
          <w:b/>
          <w:bCs/>
          <w:sz w:val="21"/>
          <w:szCs w:val="21"/>
        </w:rPr>
        <w:t>组成</w:t>
      </w:r>
    </w:p>
    <w:tbl>
      <w:tblPr>
        <w:tblStyle w:val="18"/>
        <w:tblW w:w="8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0"/>
        <w:gridCol w:w="2342"/>
        <w:gridCol w:w="5349"/>
      </w:tblGrid>
      <w:tr w14:paraId="2C6CC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3B183E4F">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2342" w:type="dxa"/>
          </w:tcPr>
          <w:p w14:paraId="2C1B3989">
            <w:pPr>
              <w:adjustRightInd w:val="0"/>
              <w:snapToGrid w:val="0"/>
              <w:spacing w:before="156" w:after="156" w:line="240" w:lineRule="auto"/>
              <w:ind w:firstLine="0" w:firstLineChars="0"/>
              <w:jc w:val="center"/>
              <w:rPr>
                <w:rFonts w:hint="eastAsia" w:ascii="宋体" w:hAnsi="宋体" w:eastAsia="宋体" w:cs="宋体"/>
                <w:sz w:val="21"/>
                <w:szCs w:val="21"/>
                <w:lang w:eastAsia="zh-CN"/>
              </w:rPr>
            </w:pPr>
            <w:r>
              <w:rPr>
                <w:rFonts w:hint="eastAsia" w:ascii="宋体" w:hAnsi="宋体" w:cs="宋体"/>
                <w:sz w:val="21"/>
                <w:szCs w:val="21"/>
                <w:lang w:eastAsia="zh-CN"/>
              </w:rPr>
              <w:t>信息表项</w:t>
            </w:r>
          </w:p>
        </w:tc>
        <w:tc>
          <w:tcPr>
            <w:tcW w:w="5349" w:type="dxa"/>
          </w:tcPr>
          <w:p w14:paraId="2B7B18A2">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w:t>
            </w:r>
            <w:r>
              <w:rPr>
                <w:rFonts w:hint="eastAsia" w:ascii="宋体" w:hAnsi="宋体" w:cs="宋体"/>
                <w:sz w:val="21"/>
                <w:szCs w:val="21"/>
                <w:lang w:val="en-US" w:eastAsia="zh-CN"/>
              </w:rPr>
              <w:t>信息</w:t>
            </w:r>
            <w:r>
              <w:rPr>
                <w:rFonts w:hint="eastAsia" w:ascii="宋体" w:hAnsi="宋体" w:cs="宋体"/>
                <w:sz w:val="21"/>
                <w:szCs w:val="21"/>
              </w:rPr>
              <w:t>组成</w:t>
            </w:r>
          </w:p>
        </w:tc>
      </w:tr>
      <w:tr w14:paraId="1FBB8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8" w:hRule="atLeast"/>
          <w:jc w:val="center"/>
        </w:trPr>
        <w:tc>
          <w:tcPr>
            <w:tcW w:w="830" w:type="dxa"/>
          </w:tcPr>
          <w:p w14:paraId="64FBA46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2342" w:type="dxa"/>
          </w:tcPr>
          <w:p w14:paraId="24DF0220">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项目基础信息</w:t>
            </w:r>
          </w:p>
        </w:tc>
        <w:tc>
          <w:tcPr>
            <w:tcW w:w="5349" w:type="dxa"/>
          </w:tcPr>
          <w:p w14:paraId="1A613F06">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唯一标识码、备注、项目名称、项目编号、建设地址、建设单位、设计单位、勘察单位、咨询单位、施工单位、监理单位、图审单位、坐标系名称、高程系名称、基点坐标X、基点坐标Y、基点高程</w:t>
            </w:r>
          </w:p>
        </w:tc>
      </w:tr>
      <w:tr w14:paraId="708A6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777341A6">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2342" w:type="dxa"/>
          </w:tcPr>
          <w:p w14:paraId="1BAA6921">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模型文件信息</w:t>
            </w:r>
          </w:p>
        </w:tc>
        <w:tc>
          <w:tcPr>
            <w:tcW w:w="5349" w:type="dxa"/>
          </w:tcPr>
          <w:p w14:paraId="738FD926">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唯一标识码、编码、文件名称、项目名称、项目编码、阶段类型、模型类型、模型精度、编制人员、提交时间、文件格式、文件引用、文件版本</w:t>
            </w:r>
          </w:p>
        </w:tc>
      </w:tr>
      <w:tr w14:paraId="29360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09E67208">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2342" w:type="dxa"/>
          </w:tcPr>
          <w:p w14:paraId="68B14F7B">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图片文件信息</w:t>
            </w:r>
          </w:p>
        </w:tc>
        <w:tc>
          <w:tcPr>
            <w:tcW w:w="5349" w:type="dxa"/>
          </w:tcPr>
          <w:p w14:paraId="754312D3">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唯一标识码、编码、文件名称、项目名称、项目编码、阶段类型、图片类型、提交人员、提交时间、文件格式、文件引用、文件版本</w:t>
            </w:r>
          </w:p>
        </w:tc>
      </w:tr>
      <w:tr w14:paraId="0FB0D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19A29B29">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2342" w:type="dxa"/>
          </w:tcPr>
          <w:p w14:paraId="0E27242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视频文件信息</w:t>
            </w:r>
          </w:p>
        </w:tc>
        <w:tc>
          <w:tcPr>
            <w:tcW w:w="5349" w:type="dxa"/>
          </w:tcPr>
          <w:p w14:paraId="0EA29EBF">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唯一标识码、编码、文件名称、项目名称、项目编码、阶段类型、视频类型、文件大小、编制人员、提交时间、文件格式、文件引用、文件版本</w:t>
            </w:r>
          </w:p>
        </w:tc>
      </w:tr>
      <w:tr w14:paraId="5981C9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0D2EBFBD">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2342" w:type="dxa"/>
          </w:tcPr>
          <w:p w14:paraId="557E7F63">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图纸文件信息</w:t>
            </w:r>
          </w:p>
        </w:tc>
        <w:tc>
          <w:tcPr>
            <w:tcW w:w="5349" w:type="dxa"/>
          </w:tcPr>
          <w:p w14:paraId="70E9EEF9">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唯一标识码、编码、文件名称、项目名称、项目编码、阶段类型、图纸类型、编制人员、提交时间、文件格式、文件引用、文件版本</w:t>
            </w:r>
          </w:p>
        </w:tc>
      </w:tr>
      <w:tr w14:paraId="0F724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30" w:type="dxa"/>
          </w:tcPr>
          <w:p w14:paraId="632AADA7">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6</w:t>
            </w:r>
          </w:p>
        </w:tc>
        <w:tc>
          <w:tcPr>
            <w:tcW w:w="2342" w:type="dxa"/>
          </w:tcPr>
          <w:p w14:paraId="7754D59A">
            <w:pPr>
              <w:adjustRightInd w:val="0"/>
              <w:snapToGrid w:val="0"/>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报告文件信息</w:t>
            </w:r>
          </w:p>
        </w:tc>
        <w:tc>
          <w:tcPr>
            <w:tcW w:w="5349" w:type="dxa"/>
          </w:tcPr>
          <w:p w14:paraId="0C937168">
            <w:pPr>
              <w:spacing w:before="156" w:after="156" w:line="240" w:lineRule="auto"/>
              <w:ind w:firstLine="0" w:firstLineChars="0"/>
              <w:rPr>
                <w:rFonts w:hint="eastAsia" w:ascii="宋体" w:hAnsi="宋体" w:cs="宋体"/>
                <w:sz w:val="21"/>
                <w:szCs w:val="21"/>
              </w:rPr>
            </w:pPr>
            <w:r>
              <w:rPr>
                <w:rFonts w:hint="eastAsia" w:ascii="宋体" w:hAnsi="宋体" w:cs="宋体"/>
                <w:sz w:val="21"/>
                <w:szCs w:val="21"/>
              </w:rPr>
              <w:t>唯一标识码、编码、报告名称、项目名称、项目编码、阶段类型、报告类型、编制人员、提交时间、文件格式、文件引用、文件版本</w:t>
            </w:r>
          </w:p>
        </w:tc>
      </w:tr>
    </w:tbl>
    <w:p w14:paraId="55880A0E">
      <w:pPr>
        <w:pStyle w:val="3"/>
        <w:spacing w:before="156" w:after="156"/>
        <w:ind w:firstLine="482"/>
        <w:rPr>
          <w:rFonts w:cs="Times New Roman"/>
        </w:rPr>
      </w:pPr>
      <w:bookmarkStart w:id="24" w:name="_Toc14624"/>
      <w:bookmarkStart w:id="25" w:name="_Toc1535"/>
      <w:r>
        <w:rPr>
          <w:rFonts w:cs="Times New Roman"/>
        </w:rPr>
        <w:t>4.</w:t>
      </w:r>
      <w:r>
        <w:rPr>
          <w:rFonts w:hint="eastAsia" w:cs="Times New Roman"/>
          <w:lang w:val="en-US" w:eastAsia="zh-CN"/>
        </w:rPr>
        <w:t>5</w:t>
      </w:r>
      <w:r>
        <w:rPr>
          <w:rFonts w:cs="Times New Roman"/>
        </w:rPr>
        <w:t xml:space="preserve">  </w:t>
      </w:r>
      <w:r>
        <w:rPr>
          <w:rFonts w:hint="eastAsia" w:cs="Times New Roman"/>
          <w:b w:val="0"/>
          <w:bCs w:val="0"/>
          <w:lang w:val="en-US" w:eastAsia="zh-CN"/>
        </w:rPr>
        <w:t>存储与</w:t>
      </w:r>
      <w:r>
        <w:rPr>
          <w:rFonts w:cs="Times New Roman"/>
          <w:b w:val="0"/>
          <w:bCs w:val="0"/>
        </w:rPr>
        <w:t>管理</w:t>
      </w:r>
      <w:bookmarkEnd w:id="24"/>
      <w:bookmarkEnd w:id="25"/>
    </w:p>
    <w:p w14:paraId="5EF69E5D">
      <w:pPr>
        <w:spacing w:before="156" w:after="156"/>
        <w:ind w:firstLine="0" w:firstLineChars="0"/>
        <w:rPr>
          <w:rFonts w:cs="Times New Roman"/>
        </w:rPr>
      </w:pPr>
      <w:r>
        <w:rPr>
          <w:rFonts w:cs="Times New Roman"/>
          <w:b/>
        </w:rPr>
        <w:t>4.</w:t>
      </w:r>
      <w:r>
        <w:rPr>
          <w:rFonts w:hint="eastAsia" w:cs="Times New Roman"/>
          <w:b/>
          <w:lang w:val="en-US" w:eastAsia="zh-CN"/>
        </w:rPr>
        <w:t>5</w:t>
      </w:r>
      <w:r>
        <w:rPr>
          <w:rFonts w:cs="Times New Roman"/>
          <w:b/>
        </w:rPr>
        <w:t xml:space="preserve">.1  </w:t>
      </w:r>
      <w:r>
        <w:rPr>
          <w:rFonts w:cs="Times New Roman"/>
        </w:rPr>
        <w:t>存储介质和设备</w:t>
      </w:r>
    </w:p>
    <w:p w14:paraId="3626497A">
      <w:pPr>
        <w:spacing w:before="156" w:after="156"/>
        <w:ind w:firstLine="482"/>
        <w:rPr>
          <w:rFonts w:cs="Times New Roman"/>
        </w:rPr>
      </w:pPr>
      <w:r>
        <w:rPr>
          <w:rFonts w:cs="Times New Roman"/>
          <w:b/>
          <w:kern w:val="0"/>
          <w:lang w:val="zh-CN"/>
        </w:rPr>
        <w:t>1</w:t>
      </w:r>
      <w:r>
        <w:rPr>
          <w:rFonts w:cs="Times New Roman"/>
          <w:kern w:val="0"/>
          <w:lang w:val="zh-CN"/>
        </w:rPr>
        <w:t xml:space="preserve">  </w:t>
      </w:r>
      <w:r>
        <w:rPr>
          <w:rFonts w:cs="Times New Roman"/>
        </w:rPr>
        <w:t>硬盘网络存储系统﹑物理磁带库、虚拟磁带库及光盘塔/库应支持对备份数据的备份。</w:t>
      </w:r>
    </w:p>
    <w:p w14:paraId="75DD922D">
      <w:pPr>
        <w:spacing w:before="156" w:after="156"/>
        <w:ind w:firstLine="482"/>
        <w:rPr>
          <w:rFonts w:cs="Times New Roman"/>
        </w:rPr>
      </w:pPr>
      <w:r>
        <w:rPr>
          <w:rFonts w:cs="Times New Roman"/>
          <w:b/>
          <w:kern w:val="0"/>
          <w:lang w:val="zh-CN"/>
        </w:rPr>
        <w:t>2</w:t>
      </w:r>
      <w:r>
        <w:rPr>
          <w:rFonts w:cs="Times New Roman"/>
          <w:kern w:val="0"/>
          <w:lang w:val="zh-CN"/>
        </w:rPr>
        <w:t xml:space="preserve">  </w:t>
      </w:r>
      <w:r>
        <w:rPr>
          <w:rFonts w:cs="Times New Roman"/>
        </w:rPr>
        <w:t>块存储、文件存储及对象存储系统应支持作为备份数据的备份存储系统。</w:t>
      </w:r>
    </w:p>
    <w:p w14:paraId="503DC5C7">
      <w:pPr>
        <w:spacing w:before="156" w:after="156"/>
        <w:ind w:firstLine="482"/>
        <w:rPr>
          <w:rFonts w:cs="Times New Roman"/>
          <w:kern w:val="0"/>
          <w:lang w:val="zh-CN"/>
        </w:rPr>
      </w:pPr>
      <w:r>
        <w:rPr>
          <w:rFonts w:cs="Times New Roman"/>
          <w:b/>
          <w:kern w:val="0"/>
          <w:lang w:val="zh-CN"/>
        </w:rPr>
        <w:t>3</w:t>
      </w:r>
      <w:r>
        <w:rPr>
          <w:rFonts w:cs="Times New Roman"/>
          <w:kern w:val="0"/>
          <w:lang w:val="zh-CN"/>
        </w:rPr>
        <w:t xml:space="preserve"> </w:t>
      </w:r>
      <w:r>
        <w:rPr>
          <w:rFonts w:hint="eastAsia" w:cs="Times New Roman"/>
          <w:kern w:val="0"/>
        </w:rPr>
        <w:t xml:space="preserve"> </w:t>
      </w:r>
      <w:r>
        <w:rPr>
          <w:rFonts w:cs="Times New Roman"/>
          <w:kern w:val="0"/>
          <w:lang w:val="zh-CN"/>
        </w:rPr>
        <w:t>建筑信息模型是一种涉及建筑设计、施工和运营的综合性数字化技术，存储设备根据性能和可靠性，建议采用RD配置，以提供数据冗余和故障恢复功能。根据实际需求选择适当的RD级别，如RD0、RD1、RD5、RD10等。</w:t>
      </w:r>
    </w:p>
    <w:p w14:paraId="6CD93FD4">
      <w:pPr>
        <w:spacing w:before="156" w:after="156"/>
        <w:ind w:firstLine="0" w:firstLineChars="0"/>
        <w:rPr>
          <w:rFonts w:cs="Times New Roman"/>
        </w:rPr>
      </w:pPr>
      <w:r>
        <w:rPr>
          <w:rFonts w:cs="Times New Roman"/>
          <w:b/>
        </w:rPr>
        <w:t>4.</w:t>
      </w:r>
      <w:r>
        <w:rPr>
          <w:rFonts w:hint="eastAsia" w:cs="Times New Roman"/>
          <w:b/>
          <w:lang w:val="en-US" w:eastAsia="zh-CN"/>
        </w:rPr>
        <w:t>5</w:t>
      </w:r>
      <w:r>
        <w:rPr>
          <w:rFonts w:cs="Times New Roman"/>
          <w:b/>
        </w:rPr>
        <w:t xml:space="preserve">.2  </w:t>
      </w:r>
      <w:r>
        <w:rPr>
          <w:rFonts w:cs="Times New Roman"/>
        </w:rPr>
        <w:t>存储目录结构和文件命名</w:t>
      </w:r>
    </w:p>
    <w:p w14:paraId="65728E5E">
      <w:pPr>
        <w:spacing w:before="156" w:after="156"/>
        <w:ind w:firstLine="482"/>
        <w:rPr>
          <w:rFonts w:cs="Times New Roman"/>
        </w:rPr>
      </w:pPr>
      <w:r>
        <w:rPr>
          <w:rFonts w:cs="Times New Roman"/>
          <w:b/>
          <w:kern w:val="0"/>
          <w:lang w:val="zh-CN"/>
        </w:rPr>
        <w:t>1</w:t>
      </w:r>
      <w:r>
        <w:rPr>
          <w:rFonts w:cs="Times New Roman"/>
          <w:kern w:val="0"/>
          <w:lang w:val="zh-CN"/>
        </w:rPr>
        <w:t xml:space="preserve">  </w:t>
      </w:r>
      <w:r>
        <w:rPr>
          <w:rFonts w:cs="Times New Roman"/>
        </w:rPr>
        <w:t>归档模型的命名应简明且易于辨识。</w:t>
      </w:r>
    </w:p>
    <w:p w14:paraId="76CC8AC8">
      <w:pPr>
        <w:spacing w:before="156" w:after="156"/>
        <w:ind w:firstLine="480"/>
        <w:rPr>
          <w:rFonts w:hint="eastAsia" w:eastAsia="宋体" w:cs="Times New Roman"/>
          <w:lang w:eastAsia="zh-CN"/>
        </w:rPr>
      </w:pPr>
      <w:r>
        <w:rPr>
          <w:rFonts w:cs="Times New Roman"/>
        </w:rPr>
        <w:t>（1）文件夹命名</w:t>
      </w:r>
      <w:r>
        <w:rPr>
          <w:rFonts w:hint="eastAsia" w:cs="Times New Roman"/>
        </w:rPr>
        <w:t>宜</w:t>
      </w:r>
      <w:r>
        <w:rPr>
          <w:rFonts w:cs="Times New Roman"/>
        </w:rPr>
        <w:t>包含项目名称、项目子项或分区、专业等字段</w:t>
      </w:r>
      <w:r>
        <w:rPr>
          <w:rFonts w:hint="eastAsia" w:cs="Times New Roman"/>
          <w:lang w:eastAsia="zh-CN"/>
        </w:rPr>
        <w:t>。</w:t>
      </w:r>
    </w:p>
    <w:p w14:paraId="1FF5044F">
      <w:pPr>
        <w:spacing w:before="156" w:after="156"/>
        <w:ind w:firstLine="480"/>
        <w:rPr>
          <w:rFonts w:cs="Times New Roman"/>
        </w:rPr>
      </w:pPr>
      <w:r>
        <w:rPr>
          <w:rFonts w:cs="Times New Roman"/>
        </w:rPr>
        <w:t>（2）电子文件命名</w:t>
      </w:r>
      <w:r>
        <w:rPr>
          <w:rFonts w:hint="eastAsia" w:cs="Times New Roman"/>
        </w:rPr>
        <w:t>宜</w:t>
      </w:r>
      <w:r>
        <w:rPr>
          <w:rFonts w:cs="Times New Roman"/>
        </w:rPr>
        <w:t>包含项目子项、专业、自定义说明等字段。</w:t>
      </w:r>
    </w:p>
    <w:p w14:paraId="15B302AC">
      <w:pPr>
        <w:spacing w:before="156" w:after="156"/>
        <w:ind w:firstLine="482"/>
        <w:rPr>
          <w:rFonts w:cs="Times New Roman"/>
        </w:rPr>
      </w:pPr>
      <w:r>
        <w:rPr>
          <w:rFonts w:cs="Times New Roman"/>
          <w:b/>
          <w:kern w:val="0"/>
          <w:lang w:val="zh-CN"/>
        </w:rPr>
        <w:t>2</w:t>
      </w:r>
      <w:r>
        <w:rPr>
          <w:rFonts w:cs="Times New Roman"/>
          <w:kern w:val="0"/>
          <w:lang w:val="zh-CN"/>
        </w:rPr>
        <w:t xml:space="preserve">  </w:t>
      </w:r>
      <w:r>
        <w:rPr>
          <w:rFonts w:cs="Times New Roman"/>
        </w:rPr>
        <w:t>文件夹和电子文件的命名，应便于识别、查阅与搜索。文件夹名称长度不宜过长，命名格式可按照以下类别：</w:t>
      </w:r>
    </w:p>
    <w:p w14:paraId="0F7A4E43">
      <w:pPr>
        <w:numPr>
          <w:ilvl w:val="0"/>
          <w:numId w:val="2"/>
        </w:numPr>
        <w:spacing w:before="156" w:after="156"/>
        <w:ind w:firstLine="480"/>
        <w:rPr>
          <w:rFonts w:cs="Times New Roman"/>
        </w:rPr>
      </w:pPr>
      <w:r>
        <w:rPr>
          <w:rFonts w:cs="Times New Roman"/>
        </w:rPr>
        <w:t>文件夹命名参照表4.</w:t>
      </w:r>
      <w:r>
        <w:rPr>
          <w:rFonts w:hint="eastAsia" w:cs="Times New Roman"/>
          <w:lang w:val="en-US" w:eastAsia="zh-CN"/>
        </w:rPr>
        <w:t>5</w:t>
      </w:r>
      <w:r>
        <w:rPr>
          <w:rFonts w:cs="Times New Roman"/>
        </w:rPr>
        <w:t>.2。</w:t>
      </w:r>
    </w:p>
    <w:p w14:paraId="7A3926A4">
      <w:pPr>
        <w:spacing w:before="156" w:after="156"/>
        <w:ind w:firstLine="0" w:firstLineChars="0"/>
        <w:jc w:val="center"/>
        <w:rPr>
          <w:rFonts w:cs="Times New Roman"/>
          <w:b/>
          <w:bCs/>
          <w:sz w:val="21"/>
          <w:szCs w:val="21"/>
        </w:rPr>
      </w:pPr>
      <w:r>
        <w:rPr>
          <w:rFonts w:cs="Times New Roman"/>
          <w:b/>
          <w:bCs/>
          <w:sz w:val="21"/>
          <w:szCs w:val="21"/>
        </w:rPr>
        <w:t>表4.</w:t>
      </w:r>
      <w:r>
        <w:rPr>
          <w:rFonts w:hint="eastAsia" w:cs="Times New Roman"/>
          <w:b/>
          <w:bCs/>
          <w:sz w:val="21"/>
          <w:szCs w:val="21"/>
          <w:lang w:val="en-US" w:eastAsia="zh-CN"/>
        </w:rPr>
        <w:t>5</w:t>
      </w:r>
      <w:r>
        <w:rPr>
          <w:rFonts w:cs="Times New Roman"/>
          <w:b/>
          <w:bCs/>
          <w:sz w:val="21"/>
          <w:szCs w:val="21"/>
        </w:rPr>
        <w:t>.2 文件夹目录层级关系表</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48"/>
        <w:gridCol w:w="4148"/>
      </w:tblGrid>
      <w:tr w14:paraId="7B135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148" w:type="dxa"/>
            <w:vAlign w:val="center"/>
          </w:tcPr>
          <w:p w14:paraId="7D8C6693">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层级</w:t>
            </w:r>
          </w:p>
        </w:tc>
        <w:tc>
          <w:tcPr>
            <w:tcW w:w="4148" w:type="dxa"/>
            <w:vAlign w:val="center"/>
          </w:tcPr>
          <w:p w14:paraId="0E47FF21">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名称</w:t>
            </w:r>
          </w:p>
        </w:tc>
      </w:tr>
      <w:tr w14:paraId="1194F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148" w:type="dxa"/>
            <w:vAlign w:val="center"/>
          </w:tcPr>
          <w:p w14:paraId="2F84BB3F">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一级目录</w:t>
            </w:r>
          </w:p>
        </w:tc>
        <w:tc>
          <w:tcPr>
            <w:tcW w:w="4148" w:type="dxa"/>
            <w:vAlign w:val="center"/>
          </w:tcPr>
          <w:p w14:paraId="12102CD7">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项目名称</w:t>
            </w:r>
          </w:p>
        </w:tc>
      </w:tr>
      <w:tr w14:paraId="76FC9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148" w:type="dxa"/>
            <w:vAlign w:val="center"/>
          </w:tcPr>
          <w:p w14:paraId="1BA70CB9">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二级目录</w:t>
            </w:r>
          </w:p>
        </w:tc>
        <w:tc>
          <w:tcPr>
            <w:tcW w:w="4148" w:type="dxa"/>
            <w:vAlign w:val="center"/>
          </w:tcPr>
          <w:p w14:paraId="729FC95B">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子项或分区名称</w:t>
            </w:r>
          </w:p>
        </w:tc>
      </w:tr>
      <w:tr w14:paraId="7DD66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148" w:type="dxa"/>
            <w:vAlign w:val="center"/>
          </w:tcPr>
          <w:p w14:paraId="527D0A5E">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三级目录</w:t>
            </w:r>
          </w:p>
        </w:tc>
        <w:tc>
          <w:tcPr>
            <w:tcW w:w="4148" w:type="dxa"/>
            <w:vAlign w:val="center"/>
          </w:tcPr>
          <w:p w14:paraId="220390CA">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专业目录</w:t>
            </w:r>
          </w:p>
        </w:tc>
      </w:tr>
      <w:tr w14:paraId="6110B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148" w:type="dxa"/>
            <w:vAlign w:val="center"/>
          </w:tcPr>
          <w:p w14:paraId="25C65745">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四级目录</w:t>
            </w:r>
          </w:p>
        </w:tc>
        <w:tc>
          <w:tcPr>
            <w:tcW w:w="4148" w:type="dxa"/>
            <w:vAlign w:val="center"/>
          </w:tcPr>
          <w:p w14:paraId="450EBA5F">
            <w:pPr>
              <w:spacing w:before="156" w:after="156" w:line="240" w:lineRule="auto"/>
              <w:ind w:firstLine="0" w:firstLineChars="0"/>
              <w:jc w:val="center"/>
              <w:rPr>
                <w:rFonts w:ascii="Calibri" w:hAnsi="Calibri" w:cs="Times New Roman"/>
                <w:sz w:val="21"/>
                <w:szCs w:val="21"/>
              </w:rPr>
            </w:pPr>
            <w:r>
              <w:rPr>
                <w:rFonts w:ascii="Calibri" w:hAnsi="Calibri" w:cs="Times New Roman"/>
                <w:sz w:val="21"/>
                <w:szCs w:val="21"/>
              </w:rPr>
              <w:t>自定义</w:t>
            </w:r>
            <w:r>
              <w:rPr>
                <w:rFonts w:hint="eastAsia" w:ascii="Calibri" w:hAnsi="Calibri" w:cs="Times New Roman"/>
                <w:sz w:val="21"/>
                <w:szCs w:val="21"/>
              </w:rPr>
              <w:t>（</w:t>
            </w:r>
            <w:r>
              <w:rPr>
                <w:rFonts w:ascii="Calibri" w:hAnsi="Calibri" w:cs="Times New Roman"/>
                <w:sz w:val="21"/>
                <w:szCs w:val="21"/>
              </w:rPr>
              <w:t>日期、序号等</w:t>
            </w:r>
            <w:r>
              <w:rPr>
                <w:rFonts w:hint="eastAsia" w:ascii="Calibri" w:hAnsi="Calibri" w:cs="Times New Roman"/>
                <w:sz w:val="21"/>
                <w:szCs w:val="21"/>
              </w:rPr>
              <w:t>）</w:t>
            </w:r>
          </w:p>
        </w:tc>
      </w:tr>
    </w:tbl>
    <w:p w14:paraId="58B8239D">
      <w:pPr>
        <w:spacing w:before="156" w:after="156"/>
        <w:ind w:firstLine="480"/>
        <w:rPr>
          <w:rFonts w:cs="Times New Roman"/>
        </w:rPr>
      </w:pPr>
      <w:r>
        <w:rPr>
          <w:rFonts w:cs="Times New Roman"/>
        </w:rPr>
        <w:t>（2）电子文件的名称宜由项目编号、项目简称、设计阶段代码、区段代码、专业代码、描述等依次组成，以半角下划线“_”隔开，字段内部的词组宜以半角连字符“</w:t>
      </w:r>
      <w:r>
        <w:rPr>
          <w:rFonts w:hint="eastAsia" w:cs="Times New Roman"/>
        </w:rPr>
        <w:t>-</w:t>
      </w:r>
      <w:r>
        <w:rPr>
          <w:rFonts w:cs="Times New Roman"/>
        </w:rPr>
        <w:t>”隔开，并符合下列规定：</w:t>
      </w:r>
    </w:p>
    <w:p w14:paraId="2B3B27B0">
      <w:pPr>
        <w:spacing w:before="156" w:after="156"/>
        <w:ind w:firstLine="720" w:firstLineChars="300"/>
        <w:rPr>
          <w:rFonts w:hint="eastAsia" w:eastAsia="宋体" w:cs="Times New Roman"/>
          <w:lang w:eastAsia="zh-CN"/>
        </w:rPr>
      </w:pPr>
      <w:r>
        <w:rPr>
          <w:rFonts w:cs="Times New Roman"/>
        </w:rPr>
        <w:t>1）项目编号宜采用项目管理的数字编码，无项目编码时宜以“000”替代</w:t>
      </w:r>
      <w:r>
        <w:rPr>
          <w:rFonts w:hint="eastAsia" w:cs="Times New Roman"/>
          <w:lang w:eastAsia="zh-CN"/>
        </w:rPr>
        <w:t>。</w:t>
      </w:r>
    </w:p>
    <w:p w14:paraId="176E42C3">
      <w:pPr>
        <w:spacing w:before="156" w:after="156"/>
        <w:ind w:firstLine="720" w:firstLineChars="300"/>
        <w:rPr>
          <w:rFonts w:hint="eastAsia" w:eastAsia="宋体" w:cs="Times New Roman"/>
          <w:lang w:eastAsia="zh-CN"/>
        </w:rPr>
      </w:pPr>
      <w:r>
        <w:rPr>
          <w:rFonts w:cs="Times New Roman"/>
        </w:rPr>
        <w:t>2）项目简称宜采用识别项目的简要称号，可采用英文或拼音。项目简称不宜空缺</w:t>
      </w:r>
      <w:r>
        <w:rPr>
          <w:rFonts w:hint="eastAsia" w:cs="Times New Roman"/>
          <w:lang w:eastAsia="zh-CN"/>
        </w:rPr>
        <w:t>。</w:t>
      </w:r>
    </w:p>
    <w:p w14:paraId="7C03F2AD">
      <w:pPr>
        <w:spacing w:before="156" w:after="156"/>
        <w:ind w:firstLine="720" w:firstLineChars="300"/>
        <w:rPr>
          <w:rFonts w:cs="Times New Roman"/>
        </w:rPr>
      </w:pPr>
      <w:r>
        <w:rPr>
          <w:rFonts w:cs="Times New Roman"/>
        </w:rPr>
        <w:t>3）专业代码应符合现行国家标准《建筑信息模型设计交付标准》GB/T51301的有关规定，当涉及多专业时可并列所涉及的专业。</w:t>
      </w:r>
    </w:p>
    <w:p w14:paraId="3E81CDC2">
      <w:pPr>
        <w:spacing w:before="156" w:after="156"/>
        <w:ind w:firstLine="0" w:firstLineChars="0"/>
        <w:rPr>
          <w:rFonts w:cs="Times New Roman"/>
        </w:rPr>
      </w:pPr>
      <w:r>
        <w:rPr>
          <w:rFonts w:cs="Times New Roman"/>
          <w:b/>
        </w:rPr>
        <w:t>4.</w:t>
      </w:r>
      <w:r>
        <w:rPr>
          <w:rFonts w:hint="eastAsia" w:cs="Times New Roman"/>
          <w:b/>
          <w:lang w:val="en-US" w:eastAsia="zh-CN"/>
        </w:rPr>
        <w:t>5</w:t>
      </w:r>
      <w:r>
        <w:rPr>
          <w:rFonts w:cs="Times New Roman"/>
          <w:b/>
        </w:rPr>
        <w:t xml:space="preserve">.3  </w:t>
      </w:r>
      <w:r>
        <w:rPr>
          <w:rFonts w:cs="Times New Roman"/>
        </w:rPr>
        <w:t>数据备份和恢复</w:t>
      </w:r>
    </w:p>
    <w:p w14:paraId="14BF6F82">
      <w:pPr>
        <w:spacing w:before="156" w:after="156"/>
        <w:ind w:firstLine="482"/>
        <w:rPr>
          <w:rFonts w:cs="Times New Roman"/>
        </w:rPr>
      </w:pPr>
      <w:r>
        <w:rPr>
          <w:rFonts w:cs="Times New Roman"/>
          <w:b/>
          <w:kern w:val="0"/>
          <w:lang w:val="zh-CN"/>
        </w:rPr>
        <w:t>1</w:t>
      </w:r>
      <w:r>
        <w:rPr>
          <w:rFonts w:cs="Times New Roman"/>
          <w:kern w:val="0"/>
          <w:lang w:val="zh-CN"/>
        </w:rPr>
        <w:t xml:space="preserve">  </w:t>
      </w:r>
      <w:r>
        <w:rPr>
          <w:rFonts w:cs="Times New Roman"/>
        </w:rPr>
        <w:t>备份数据完整性及一致性满足以下要求：</w:t>
      </w:r>
    </w:p>
    <w:p w14:paraId="0F259483">
      <w:pPr>
        <w:spacing w:before="156" w:after="156"/>
        <w:ind w:firstLine="480"/>
        <w:rPr>
          <w:rFonts w:hint="eastAsia" w:eastAsia="宋体" w:cs="Times New Roman"/>
          <w:lang w:eastAsia="zh-CN"/>
        </w:rPr>
      </w:pPr>
      <w:r>
        <w:rPr>
          <w:rFonts w:cs="Times New Roman"/>
        </w:rPr>
        <w:t>（1）对数据的备份应支持备份到本地、本系统、异系统和异地</w:t>
      </w:r>
      <w:r>
        <w:rPr>
          <w:rFonts w:hint="eastAsia" w:cs="Times New Roman"/>
        </w:rPr>
        <w:t>，</w:t>
      </w:r>
      <w:r>
        <w:rPr>
          <w:rFonts w:cs="Times New Roman"/>
        </w:rPr>
        <w:t>应保持一份数据副本或以上的备份，当有多份备份数据副本时</w:t>
      </w:r>
      <w:r>
        <w:rPr>
          <w:rFonts w:hint="eastAsia" w:cs="Times New Roman"/>
        </w:rPr>
        <w:t>，</w:t>
      </w:r>
      <w:r>
        <w:rPr>
          <w:rFonts w:cs="Times New Roman"/>
        </w:rPr>
        <w:t>应保持多份备份数据副本之间的数据一致性</w:t>
      </w:r>
      <w:r>
        <w:rPr>
          <w:rFonts w:hint="eastAsia" w:cs="Times New Roman"/>
          <w:lang w:eastAsia="zh-CN"/>
        </w:rPr>
        <w:t>。</w:t>
      </w:r>
    </w:p>
    <w:p w14:paraId="2FBF279A">
      <w:pPr>
        <w:spacing w:before="156" w:after="156"/>
        <w:ind w:firstLine="480"/>
        <w:rPr>
          <w:rFonts w:hint="eastAsia" w:eastAsia="宋体" w:cs="Times New Roman"/>
          <w:lang w:eastAsia="zh-CN"/>
        </w:rPr>
      </w:pPr>
      <w:r>
        <w:rPr>
          <w:rFonts w:cs="Times New Roman"/>
        </w:rPr>
        <w:t>（2）备份过程完成后</w:t>
      </w:r>
      <w:r>
        <w:rPr>
          <w:rFonts w:hint="eastAsia" w:cs="Times New Roman"/>
        </w:rPr>
        <w:t>，</w:t>
      </w:r>
      <w:r>
        <w:rPr>
          <w:rFonts w:cs="Times New Roman"/>
        </w:rPr>
        <w:t>备份数据副本在生产系统故障、断电</w:t>
      </w:r>
      <w:r>
        <w:rPr>
          <w:rFonts w:hint="eastAsia" w:cs="Times New Roman"/>
        </w:rPr>
        <w:t>、</w:t>
      </w:r>
      <w:r>
        <w:rPr>
          <w:rFonts w:cs="Times New Roman"/>
        </w:rPr>
        <w:t>崩溃等情况下</w:t>
      </w:r>
      <w:r>
        <w:rPr>
          <w:rFonts w:hint="eastAsia" w:cs="Times New Roman"/>
        </w:rPr>
        <w:t>，</w:t>
      </w:r>
      <w:r>
        <w:rPr>
          <w:rFonts w:cs="Times New Roman"/>
        </w:rPr>
        <w:t>备份数据副本应能在软件或系统的支持下被访问</w:t>
      </w:r>
      <w:r>
        <w:rPr>
          <w:rFonts w:hint="eastAsia" w:cs="Times New Roman"/>
          <w:lang w:eastAsia="zh-CN"/>
        </w:rPr>
        <w:t>。</w:t>
      </w:r>
    </w:p>
    <w:p w14:paraId="535F19C2">
      <w:pPr>
        <w:spacing w:before="156" w:after="156"/>
        <w:ind w:firstLine="480"/>
        <w:rPr>
          <w:rFonts w:hint="eastAsia" w:eastAsia="宋体" w:cs="Times New Roman"/>
          <w:lang w:eastAsia="zh-CN"/>
        </w:rPr>
      </w:pPr>
      <w:r>
        <w:rPr>
          <w:rFonts w:cs="Times New Roman"/>
        </w:rPr>
        <w:t>（3）除初始化阶段外</w:t>
      </w:r>
      <w:r>
        <w:rPr>
          <w:rFonts w:hint="eastAsia" w:cs="Times New Roman"/>
        </w:rPr>
        <w:t>，</w:t>
      </w:r>
      <w:r>
        <w:rPr>
          <w:rFonts w:cs="Times New Roman"/>
        </w:rPr>
        <w:t>备份过程中和备份结束后</w:t>
      </w:r>
      <w:r>
        <w:rPr>
          <w:rFonts w:hint="eastAsia" w:cs="Times New Roman"/>
        </w:rPr>
        <w:t>，</w:t>
      </w:r>
      <w:r>
        <w:rPr>
          <w:rFonts w:cs="Times New Roman"/>
        </w:rPr>
        <w:t>备份目标端保存的数据副本应是备份对象某一历史时刻的数据</w:t>
      </w:r>
      <w:r>
        <w:rPr>
          <w:rFonts w:hint="eastAsia" w:cs="Times New Roman"/>
          <w:lang w:eastAsia="zh-CN"/>
        </w:rPr>
        <w:t>。</w:t>
      </w:r>
    </w:p>
    <w:p w14:paraId="026C0704">
      <w:pPr>
        <w:spacing w:before="156" w:after="156"/>
        <w:ind w:firstLine="480"/>
        <w:rPr>
          <w:rFonts w:hint="eastAsia" w:eastAsia="宋体" w:cs="Times New Roman"/>
          <w:lang w:eastAsia="zh-CN"/>
        </w:rPr>
      </w:pPr>
      <w:r>
        <w:rPr>
          <w:rFonts w:cs="Times New Roman"/>
        </w:rPr>
        <w:t>（4）软件或系统可根据日志或其他技术管理备份过程</w:t>
      </w:r>
      <w:r>
        <w:rPr>
          <w:rFonts w:hint="eastAsia" w:cs="Times New Roman"/>
        </w:rPr>
        <w:t>，</w:t>
      </w:r>
      <w:r>
        <w:rPr>
          <w:rFonts w:cs="Times New Roman"/>
        </w:rPr>
        <w:t>在备份过程意外中断时应可进行数据再同步</w:t>
      </w:r>
      <w:r>
        <w:rPr>
          <w:rFonts w:hint="eastAsia" w:cs="Times New Roman"/>
          <w:lang w:eastAsia="zh-CN"/>
        </w:rPr>
        <w:t>。</w:t>
      </w:r>
    </w:p>
    <w:p w14:paraId="0555C846">
      <w:pPr>
        <w:spacing w:before="156" w:after="156"/>
        <w:ind w:firstLine="480"/>
        <w:rPr>
          <w:rFonts w:hint="eastAsia" w:eastAsia="宋体" w:cs="Times New Roman"/>
          <w:lang w:eastAsia="zh-CN"/>
        </w:rPr>
      </w:pPr>
      <w:r>
        <w:rPr>
          <w:rFonts w:cs="Times New Roman"/>
        </w:rPr>
        <w:t>（5）备份数据副本与备份对象的同步方式</w:t>
      </w:r>
      <w:r>
        <w:rPr>
          <w:rFonts w:hint="eastAsia" w:cs="Times New Roman"/>
        </w:rPr>
        <w:t>，</w:t>
      </w:r>
      <w:r>
        <w:rPr>
          <w:rFonts w:cs="Times New Roman"/>
        </w:rPr>
        <w:t>应支持实时同步或异步同步</w:t>
      </w:r>
      <w:r>
        <w:rPr>
          <w:rFonts w:hint="eastAsia" w:cs="Times New Roman"/>
          <w:lang w:eastAsia="zh-CN"/>
        </w:rPr>
        <w:t>。</w:t>
      </w:r>
    </w:p>
    <w:p w14:paraId="46F0D22A">
      <w:pPr>
        <w:spacing w:before="156" w:after="156"/>
        <w:ind w:firstLine="480"/>
        <w:rPr>
          <w:rFonts w:hint="eastAsia" w:eastAsia="宋体" w:cs="Times New Roman"/>
          <w:lang w:eastAsia="zh-CN"/>
        </w:rPr>
      </w:pPr>
      <w:r>
        <w:rPr>
          <w:rFonts w:cs="Times New Roman"/>
        </w:rPr>
        <w:t>（6）在使用并执行多个备份任务的系统中</w:t>
      </w:r>
      <w:r>
        <w:rPr>
          <w:rFonts w:hint="eastAsia" w:cs="Times New Roman"/>
        </w:rPr>
        <w:t>，</w:t>
      </w:r>
      <w:r>
        <w:rPr>
          <w:rFonts w:cs="Times New Roman"/>
        </w:rPr>
        <w:t>如多个备份对象的写入有关联关系</w:t>
      </w:r>
      <w:r>
        <w:rPr>
          <w:rFonts w:hint="eastAsia" w:cs="Times New Roman"/>
        </w:rPr>
        <w:t>，</w:t>
      </w:r>
      <w:r>
        <w:rPr>
          <w:rFonts w:cs="Times New Roman"/>
        </w:rPr>
        <w:t>备份过程中应保证备份数据副本之间的写入时序与备份对象一致</w:t>
      </w:r>
      <w:r>
        <w:rPr>
          <w:rFonts w:hint="eastAsia" w:cs="Times New Roman"/>
          <w:lang w:eastAsia="zh-CN"/>
        </w:rPr>
        <w:t>。</w:t>
      </w:r>
    </w:p>
    <w:p w14:paraId="1FBB7097">
      <w:pPr>
        <w:spacing w:before="156" w:after="156"/>
        <w:ind w:firstLine="480"/>
        <w:rPr>
          <w:rFonts w:cs="Times New Roman"/>
        </w:rPr>
      </w:pPr>
      <w:r>
        <w:rPr>
          <w:rFonts w:cs="Times New Roman"/>
        </w:rPr>
        <w:t>（7）支持对软件或系统自身的备份数据日志数据库的备份及恢复。</w:t>
      </w:r>
    </w:p>
    <w:p w14:paraId="74DB0527">
      <w:pPr>
        <w:spacing w:before="156" w:after="156"/>
        <w:ind w:firstLine="482"/>
        <w:rPr>
          <w:rFonts w:cs="Times New Roman"/>
          <w:szCs w:val="21"/>
        </w:rPr>
      </w:pPr>
      <w:r>
        <w:rPr>
          <w:rFonts w:cs="Times New Roman"/>
          <w:b/>
          <w:kern w:val="0"/>
          <w:lang w:val="zh-CN"/>
        </w:rPr>
        <w:t>2</w:t>
      </w:r>
      <w:r>
        <w:rPr>
          <w:rFonts w:cs="Times New Roman"/>
          <w:kern w:val="0"/>
          <w:lang w:val="zh-CN"/>
        </w:rPr>
        <w:t xml:space="preserve">  </w:t>
      </w:r>
      <w:r>
        <w:rPr>
          <w:rFonts w:cs="Times New Roman"/>
          <w:szCs w:val="21"/>
        </w:rPr>
        <w:t>备份数据可恢复性满足以下要求：</w:t>
      </w:r>
    </w:p>
    <w:p w14:paraId="1161A122">
      <w:pPr>
        <w:spacing w:before="156" w:after="156"/>
        <w:ind w:firstLine="480"/>
        <w:rPr>
          <w:rFonts w:hint="eastAsia" w:eastAsia="宋体" w:cs="Times New Roman"/>
          <w:szCs w:val="21"/>
          <w:lang w:eastAsia="zh-CN"/>
        </w:rPr>
      </w:pPr>
      <w:r>
        <w:rPr>
          <w:rFonts w:cs="Times New Roman"/>
          <w:szCs w:val="21"/>
        </w:rPr>
        <w:t>（1）备份数据副本应可进行本地或异地恢复</w:t>
      </w:r>
      <w:r>
        <w:rPr>
          <w:rFonts w:hint="eastAsia" w:cs="Times New Roman"/>
          <w:szCs w:val="21"/>
        </w:rPr>
        <w:t>，</w:t>
      </w:r>
      <w:r>
        <w:rPr>
          <w:rFonts w:cs="Times New Roman"/>
          <w:szCs w:val="21"/>
        </w:rPr>
        <w:t>恢复数据应与备份对象一致</w:t>
      </w:r>
      <w:r>
        <w:rPr>
          <w:rFonts w:hint="eastAsia" w:cs="Times New Roman"/>
          <w:szCs w:val="21"/>
          <w:lang w:eastAsia="zh-CN"/>
        </w:rPr>
        <w:t>。</w:t>
      </w:r>
    </w:p>
    <w:p w14:paraId="696F417B">
      <w:pPr>
        <w:spacing w:before="156" w:after="156"/>
        <w:ind w:firstLine="480"/>
        <w:rPr>
          <w:rFonts w:cs="Times New Roman"/>
          <w:szCs w:val="21"/>
        </w:rPr>
      </w:pPr>
      <w:r>
        <w:rPr>
          <w:rFonts w:cs="Times New Roman"/>
        </w:rPr>
        <w:t>（2）</w:t>
      </w:r>
      <w:r>
        <w:rPr>
          <w:rFonts w:cs="Times New Roman"/>
          <w:szCs w:val="21"/>
        </w:rPr>
        <w:t>备份过程完成后，备份目标端应包括一份独立的数据，反映了生产系统在某一历史时刻的完整数据，并可以不依存生产系统的数据将系统状态恢复至该时间点。</w:t>
      </w:r>
    </w:p>
    <w:p w14:paraId="6C300B5C">
      <w:pPr>
        <w:spacing w:before="156" w:after="156"/>
        <w:ind w:firstLine="0" w:firstLineChars="0"/>
        <w:rPr>
          <w:rFonts w:cs="Times New Roman"/>
        </w:rPr>
      </w:pPr>
      <w:r>
        <w:rPr>
          <w:rFonts w:cs="Times New Roman"/>
          <w:b/>
        </w:rPr>
        <w:t>4.</w:t>
      </w:r>
      <w:r>
        <w:rPr>
          <w:rFonts w:hint="eastAsia" w:cs="Times New Roman"/>
          <w:b/>
          <w:lang w:val="en-US" w:eastAsia="zh-CN"/>
        </w:rPr>
        <w:t>5</w:t>
      </w:r>
      <w:r>
        <w:rPr>
          <w:rFonts w:cs="Times New Roman"/>
          <w:b/>
        </w:rPr>
        <w:t xml:space="preserve">.4  </w:t>
      </w:r>
      <w:r>
        <w:rPr>
          <w:rFonts w:cs="Times New Roman"/>
        </w:rPr>
        <w:t>版本控制和变更管理</w:t>
      </w:r>
    </w:p>
    <w:p w14:paraId="0A30B60C">
      <w:pPr>
        <w:spacing w:before="156" w:after="156"/>
        <w:ind w:firstLine="482"/>
        <w:rPr>
          <w:rFonts w:cs="Times New Roman"/>
        </w:rPr>
      </w:pPr>
      <w:r>
        <w:rPr>
          <w:rFonts w:cs="Times New Roman"/>
          <w:b/>
          <w:kern w:val="0"/>
          <w:lang w:val="zh-CN"/>
        </w:rPr>
        <w:t>1</w:t>
      </w:r>
      <w:r>
        <w:rPr>
          <w:rFonts w:cs="Times New Roman"/>
          <w:kern w:val="0"/>
          <w:lang w:val="zh-CN"/>
        </w:rPr>
        <w:t xml:space="preserve">  </w:t>
      </w:r>
      <w:r>
        <w:rPr>
          <w:rFonts w:cs="Times New Roman"/>
        </w:rPr>
        <w:t>设计图纸变更后，建筑信息模型应同步变更，并有效提供变更内容的标注查找方式。</w:t>
      </w:r>
    </w:p>
    <w:p w14:paraId="09C493F3">
      <w:pPr>
        <w:spacing w:before="156" w:after="156"/>
        <w:ind w:firstLine="482"/>
        <w:rPr>
          <w:rFonts w:cs="Times New Roman"/>
        </w:rPr>
      </w:pPr>
      <w:r>
        <w:rPr>
          <w:rFonts w:cs="Times New Roman"/>
          <w:b/>
          <w:kern w:val="0"/>
          <w:lang w:val="zh-CN"/>
        </w:rPr>
        <w:t>2</w:t>
      </w:r>
      <w:r>
        <w:rPr>
          <w:rFonts w:cs="Times New Roman"/>
          <w:kern w:val="0"/>
          <w:lang w:val="zh-CN"/>
        </w:rPr>
        <w:t xml:space="preserve">  </w:t>
      </w:r>
      <w:r>
        <w:rPr>
          <w:rFonts w:cs="Times New Roman"/>
        </w:rPr>
        <w:t>在建筑信息模型更新过程中，应保持模型元素的一致性，并做好历史数据的备份工作。</w:t>
      </w:r>
    </w:p>
    <w:p w14:paraId="556C7D7C">
      <w:pPr>
        <w:spacing w:before="156" w:after="156"/>
        <w:ind w:firstLine="482"/>
        <w:rPr>
          <w:rFonts w:cs="Times New Roman"/>
        </w:rPr>
      </w:pPr>
      <w:r>
        <w:rPr>
          <w:rFonts w:cs="Times New Roman"/>
          <w:b/>
          <w:kern w:val="0"/>
          <w:lang w:val="zh-CN"/>
        </w:rPr>
        <w:t>3</w:t>
      </w:r>
      <w:r>
        <w:rPr>
          <w:rFonts w:cs="Times New Roman"/>
          <w:kern w:val="0"/>
          <w:lang w:val="zh-CN"/>
        </w:rPr>
        <w:t xml:space="preserve">  </w:t>
      </w:r>
      <w:r>
        <w:rPr>
          <w:rFonts w:cs="Times New Roman"/>
        </w:rPr>
        <w:t>建筑信息模型可采取模型单元更新、区域更新或版本更新方式。不同更新方式应符合如下规定：</w:t>
      </w:r>
    </w:p>
    <w:p w14:paraId="3E16DE55">
      <w:pPr>
        <w:spacing w:before="156" w:after="156"/>
        <w:ind w:firstLine="480"/>
        <w:rPr>
          <w:rFonts w:hint="eastAsia" w:eastAsia="宋体" w:cs="Times New Roman"/>
          <w:lang w:eastAsia="zh-CN"/>
        </w:rPr>
      </w:pPr>
      <w:r>
        <w:rPr>
          <w:rFonts w:cs="Times New Roman"/>
        </w:rPr>
        <w:t>（1）当采用模型单元更新时，应保证更新后的新数据与周边数据的拓扑关系正确</w:t>
      </w:r>
      <w:r>
        <w:rPr>
          <w:rFonts w:hint="eastAsia" w:cs="Times New Roman"/>
          <w:lang w:eastAsia="zh-CN"/>
        </w:rPr>
        <w:t>。</w:t>
      </w:r>
    </w:p>
    <w:p w14:paraId="0E5C2605">
      <w:pPr>
        <w:spacing w:before="156" w:after="156"/>
        <w:ind w:firstLine="480"/>
        <w:rPr>
          <w:rFonts w:hint="eastAsia" w:eastAsia="宋体" w:cs="Times New Roman"/>
          <w:lang w:eastAsia="zh-CN"/>
        </w:rPr>
      </w:pPr>
      <w:r>
        <w:rPr>
          <w:rFonts w:cs="Times New Roman"/>
        </w:rPr>
        <w:t>（2）当采用区域更新时，应保证更新后的新数据与周边数据的无缝</w:t>
      </w:r>
      <w:r>
        <w:rPr>
          <w:rFonts w:hint="eastAsia" w:cs="Times New Roman"/>
        </w:rPr>
        <w:t>衔接</w:t>
      </w:r>
      <w:r>
        <w:rPr>
          <w:rFonts w:hint="eastAsia" w:cs="Times New Roman"/>
          <w:lang w:eastAsia="zh-CN"/>
        </w:rPr>
        <w:t>。</w:t>
      </w:r>
    </w:p>
    <w:p w14:paraId="002B37B5">
      <w:pPr>
        <w:spacing w:before="156" w:after="156"/>
        <w:ind w:firstLine="480"/>
        <w:rPr>
          <w:rFonts w:hint="eastAsia" w:eastAsia="宋体" w:cs="Times New Roman"/>
          <w:lang w:eastAsia="zh-CN"/>
        </w:rPr>
      </w:pPr>
      <w:r>
        <w:rPr>
          <w:rFonts w:cs="Times New Roman"/>
        </w:rPr>
        <w:t>（3）当采用版本更新时，新版本</w:t>
      </w:r>
      <w:r>
        <w:rPr>
          <w:rFonts w:hint="eastAsia" w:cs="Times New Roman"/>
          <w:lang w:eastAsia="zh-CN"/>
        </w:rPr>
        <w:t>模型细度</w:t>
      </w:r>
      <w:r>
        <w:rPr>
          <w:rFonts w:cs="Times New Roman"/>
        </w:rPr>
        <w:t>应与上一版</w:t>
      </w:r>
      <w:r>
        <w:rPr>
          <w:rFonts w:hint="eastAsia" w:cs="Times New Roman"/>
          <w:lang w:eastAsia="zh-CN"/>
        </w:rPr>
        <w:t>模型细度</w:t>
      </w:r>
      <w:r>
        <w:rPr>
          <w:rFonts w:cs="Times New Roman"/>
        </w:rPr>
        <w:t>一致</w:t>
      </w:r>
      <w:r>
        <w:rPr>
          <w:rFonts w:hint="eastAsia" w:cs="Times New Roman"/>
          <w:lang w:eastAsia="zh-CN"/>
        </w:rPr>
        <w:t>。</w:t>
      </w:r>
    </w:p>
    <w:p w14:paraId="1504BC79">
      <w:pPr>
        <w:spacing w:before="156" w:after="156"/>
        <w:ind w:firstLine="480"/>
        <w:rPr>
          <w:rFonts w:cs="Times New Roman"/>
        </w:rPr>
      </w:pPr>
      <w:r>
        <w:rPr>
          <w:rFonts w:cs="Times New Roman"/>
        </w:rPr>
        <w:t>（4）未</w:t>
      </w:r>
      <w:r>
        <w:rPr>
          <w:rFonts w:hint="eastAsia" w:cs="Times New Roman"/>
          <w:lang w:eastAsia="zh-CN"/>
        </w:rPr>
        <w:t>作</w:t>
      </w:r>
      <w:r>
        <w:rPr>
          <w:rFonts w:cs="Times New Roman"/>
        </w:rPr>
        <w:t>修改更新的模型，应与上一版模型信息一致。</w:t>
      </w:r>
    </w:p>
    <w:p w14:paraId="71BF3DC1">
      <w:pPr>
        <w:pStyle w:val="3"/>
        <w:spacing w:before="156" w:after="156"/>
        <w:ind w:firstLine="482"/>
        <w:rPr>
          <w:rFonts w:cs="Times New Roman"/>
        </w:rPr>
      </w:pPr>
      <w:bookmarkStart w:id="26" w:name="_Toc8134"/>
      <w:bookmarkStart w:id="27" w:name="_Toc21408"/>
      <w:r>
        <w:rPr>
          <w:rFonts w:cs="Times New Roman"/>
        </w:rPr>
        <w:t>4.</w:t>
      </w:r>
      <w:r>
        <w:rPr>
          <w:rFonts w:hint="eastAsia" w:cs="Times New Roman"/>
          <w:lang w:val="en-US" w:eastAsia="zh-CN"/>
        </w:rPr>
        <w:t>6</w:t>
      </w:r>
      <w:r>
        <w:rPr>
          <w:rFonts w:cs="Times New Roman"/>
        </w:rPr>
        <w:t xml:space="preserve">  </w:t>
      </w:r>
      <w:r>
        <w:rPr>
          <w:rFonts w:cs="Times New Roman"/>
          <w:b w:val="0"/>
          <w:bCs w:val="0"/>
        </w:rPr>
        <w:t>共享与安全</w:t>
      </w:r>
      <w:bookmarkEnd w:id="26"/>
      <w:bookmarkEnd w:id="27"/>
    </w:p>
    <w:p w14:paraId="50B10E7A">
      <w:pPr>
        <w:spacing w:before="156" w:after="156"/>
        <w:ind w:firstLine="0" w:firstLineChars="0"/>
        <w:rPr>
          <w:rFonts w:cs="Times New Roman"/>
        </w:rPr>
      </w:pPr>
      <w:r>
        <w:rPr>
          <w:rFonts w:cs="Times New Roman"/>
          <w:b/>
        </w:rPr>
        <w:t>4.</w:t>
      </w:r>
      <w:r>
        <w:rPr>
          <w:rFonts w:hint="eastAsia" w:cs="Times New Roman"/>
          <w:b/>
          <w:lang w:val="en-US" w:eastAsia="zh-CN"/>
        </w:rPr>
        <w:t>6</w:t>
      </w:r>
      <w:r>
        <w:rPr>
          <w:rFonts w:cs="Times New Roman"/>
          <w:b/>
        </w:rPr>
        <w:t xml:space="preserve">.1  </w:t>
      </w:r>
      <w:r>
        <w:rPr>
          <w:rFonts w:cs="Times New Roman"/>
        </w:rPr>
        <w:t>数据访问</w:t>
      </w:r>
    </w:p>
    <w:p w14:paraId="338549FE">
      <w:pPr>
        <w:spacing w:before="156" w:after="156"/>
        <w:ind w:firstLine="482"/>
        <w:rPr>
          <w:rFonts w:hint="eastAsia" w:eastAsia="宋体" w:cs="Times New Roman"/>
          <w:szCs w:val="21"/>
          <w:lang w:eastAsia="zh-CN"/>
        </w:rPr>
      </w:pPr>
      <w:r>
        <w:rPr>
          <w:rFonts w:cs="Times New Roman"/>
          <w:b/>
          <w:kern w:val="0"/>
          <w:lang w:val="zh-CN"/>
        </w:rPr>
        <w:t>1</w:t>
      </w:r>
      <w:r>
        <w:rPr>
          <w:rFonts w:cs="Times New Roman"/>
          <w:kern w:val="0"/>
          <w:lang w:val="zh-CN"/>
        </w:rPr>
        <w:t xml:space="preserve">  </w:t>
      </w:r>
      <w:r>
        <w:rPr>
          <w:rFonts w:cs="Times New Roman"/>
          <w:szCs w:val="21"/>
        </w:rPr>
        <w:t>身份鉴别：需对访问数据处理系统、服务器操作系统、数据库系统、备份系统的管理员进行身份鉴别，数据传输系统操作的人员需具备相应的操作权限，包括但不仅限于数字身份证书或用户名、密码来进行鉴权</w:t>
      </w:r>
      <w:r>
        <w:rPr>
          <w:rFonts w:hint="eastAsia" w:cs="Times New Roman"/>
          <w:szCs w:val="21"/>
          <w:lang w:eastAsia="zh-CN"/>
        </w:rPr>
        <w:t>。</w:t>
      </w:r>
    </w:p>
    <w:p w14:paraId="1B746FCA">
      <w:pPr>
        <w:spacing w:before="156" w:after="156"/>
        <w:ind w:firstLine="482"/>
        <w:rPr>
          <w:rFonts w:cs="Times New Roman"/>
          <w:szCs w:val="21"/>
        </w:rPr>
      </w:pPr>
      <w:r>
        <w:rPr>
          <w:rFonts w:cs="Times New Roman"/>
          <w:b/>
          <w:kern w:val="0"/>
          <w:lang w:val="zh-CN"/>
        </w:rPr>
        <w:t>2</w:t>
      </w:r>
      <w:r>
        <w:rPr>
          <w:rFonts w:cs="Times New Roman"/>
          <w:kern w:val="0"/>
          <w:lang w:val="zh-CN"/>
        </w:rPr>
        <w:t xml:space="preserve">  </w:t>
      </w:r>
      <w:r>
        <w:rPr>
          <w:rFonts w:cs="Times New Roman"/>
          <w:szCs w:val="21"/>
        </w:rPr>
        <w:t>访问控制：针对服务器系统、数据库系统、文件管理系统等重要系统设置用户访问策略。阻断对数据、应用、系统等的任何非授权访问，提出告警、并记录审计日志。</w:t>
      </w:r>
    </w:p>
    <w:p w14:paraId="5CF15C0B">
      <w:pPr>
        <w:spacing w:before="156" w:after="156"/>
        <w:ind w:firstLine="0" w:firstLineChars="0"/>
        <w:rPr>
          <w:rFonts w:cs="Times New Roman"/>
        </w:rPr>
      </w:pPr>
      <w:r>
        <w:rPr>
          <w:rFonts w:cs="Times New Roman"/>
          <w:b/>
        </w:rPr>
        <w:t>4.</w:t>
      </w:r>
      <w:r>
        <w:rPr>
          <w:rFonts w:hint="eastAsia" w:cs="Times New Roman"/>
          <w:b/>
          <w:lang w:val="en-US" w:eastAsia="zh-CN"/>
        </w:rPr>
        <w:t>6</w:t>
      </w:r>
      <w:r>
        <w:rPr>
          <w:rFonts w:cs="Times New Roman"/>
          <w:b/>
        </w:rPr>
        <w:t xml:space="preserve">.2  </w:t>
      </w:r>
      <w:r>
        <w:rPr>
          <w:rFonts w:cs="Times New Roman"/>
        </w:rPr>
        <w:t>数据共享</w:t>
      </w:r>
    </w:p>
    <w:p w14:paraId="3264ECA9">
      <w:pPr>
        <w:spacing w:before="156" w:after="156"/>
        <w:ind w:firstLine="482"/>
        <w:rPr>
          <w:rFonts w:hint="eastAsia" w:eastAsia="宋体" w:cs="Times New Roman"/>
          <w:szCs w:val="21"/>
          <w:lang w:eastAsia="zh-CN"/>
        </w:rPr>
      </w:pPr>
      <w:r>
        <w:rPr>
          <w:rFonts w:cs="Times New Roman"/>
          <w:b/>
          <w:kern w:val="0"/>
          <w:lang w:val="zh-CN"/>
        </w:rPr>
        <w:t>1</w:t>
      </w:r>
      <w:r>
        <w:rPr>
          <w:rFonts w:cs="Times New Roman"/>
          <w:kern w:val="0"/>
          <w:lang w:val="zh-CN"/>
        </w:rPr>
        <w:t xml:space="preserve">  </w:t>
      </w:r>
      <w:r>
        <w:rPr>
          <w:rFonts w:cs="Times New Roman"/>
          <w:szCs w:val="21"/>
        </w:rPr>
        <w:t>宜将模型数据以文件形式交换、共享，交换物文件包或单体模型文件加密和解密的方式应符合数据传输安全的相关规定</w:t>
      </w:r>
      <w:r>
        <w:rPr>
          <w:rFonts w:hint="eastAsia" w:cs="Times New Roman"/>
          <w:szCs w:val="21"/>
          <w:lang w:eastAsia="zh-CN"/>
        </w:rPr>
        <w:t>。</w:t>
      </w:r>
    </w:p>
    <w:p w14:paraId="64D7E0FD">
      <w:pPr>
        <w:spacing w:before="156" w:after="156"/>
        <w:ind w:firstLine="482"/>
        <w:rPr>
          <w:rFonts w:cs="Times New Roman"/>
          <w:szCs w:val="21"/>
        </w:rPr>
      </w:pPr>
      <w:r>
        <w:rPr>
          <w:rFonts w:cs="Times New Roman"/>
          <w:b/>
          <w:kern w:val="0"/>
          <w:lang w:val="zh-CN"/>
        </w:rPr>
        <w:t>2</w:t>
      </w:r>
      <w:r>
        <w:rPr>
          <w:rFonts w:cs="Times New Roman"/>
          <w:kern w:val="0"/>
          <w:lang w:val="zh-CN"/>
        </w:rPr>
        <w:t xml:space="preserve">  </w:t>
      </w:r>
      <w:r>
        <w:rPr>
          <w:rFonts w:cs="Times New Roman"/>
          <w:szCs w:val="21"/>
        </w:rPr>
        <w:t>应符合现行国家标准</w:t>
      </w:r>
      <w:r>
        <w:rPr>
          <w:rFonts w:cs="Times New Roman"/>
        </w:rPr>
        <w:t>《建筑信息模型存储标准》 GB/T51447</w:t>
      </w:r>
      <w:r>
        <w:rPr>
          <w:rFonts w:cs="Times New Roman"/>
          <w:szCs w:val="21"/>
        </w:rPr>
        <w:t>的有关规定。</w:t>
      </w:r>
    </w:p>
    <w:p w14:paraId="48DF42B2">
      <w:pPr>
        <w:spacing w:before="156" w:after="156"/>
        <w:ind w:firstLine="0" w:firstLineChars="0"/>
        <w:rPr>
          <w:rFonts w:cs="Times New Roman"/>
        </w:rPr>
      </w:pPr>
      <w:r>
        <w:rPr>
          <w:rFonts w:cs="Times New Roman"/>
          <w:b/>
        </w:rPr>
        <w:t>4.</w:t>
      </w:r>
      <w:r>
        <w:rPr>
          <w:rFonts w:hint="eastAsia" w:cs="Times New Roman"/>
          <w:b/>
          <w:lang w:val="en-US" w:eastAsia="zh-CN"/>
        </w:rPr>
        <w:t>6</w:t>
      </w:r>
      <w:r>
        <w:rPr>
          <w:rFonts w:cs="Times New Roman"/>
          <w:b/>
        </w:rPr>
        <w:t xml:space="preserve">.3  </w:t>
      </w:r>
      <w:r>
        <w:rPr>
          <w:rFonts w:cs="Times New Roman"/>
        </w:rPr>
        <w:t>数据安全</w:t>
      </w:r>
    </w:p>
    <w:p w14:paraId="380E7903">
      <w:pPr>
        <w:spacing w:before="156" w:after="156"/>
        <w:ind w:firstLine="482"/>
        <w:rPr>
          <w:rFonts w:cs="Times New Roman"/>
        </w:rPr>
      </w:pPr>
      <w:r>
        <w:rPr>
          <w:rFonts w:cs="Times New Roman"/>
          <w:b/>
          <w:kern w:val="0"/>
          <w:lang w:val="zh-CN"/>
        </w:rPr>
        <w:t>1</w:t>
      </w:r>
      <w:r>
        <w:rPr>
          <w:rFonts w:cs="Times New Roman"/>
          <w:kern w:val="0"/>
          <w:lang w:val="zh-CN"/>
        </w:rPr>
        <w:t xml:space="preserve">  </w:t>
      </w:r>
      <w:r>
        <w:rPr>
          <w:rFonts w:cs="Times New Roman"/>
        </w:rPr>
        <w:t>加密存储</w:t>
      </w:r>
    </w:p>
    <w:p w14:paraId="1E453378">
      <w:pPr>
        <w:spacing w:before="156" w:after="156"/>
        <w:ind w:firstLine="480"/>
        <w:rPr>
          <w:rFonts w:cs="Times New Roman"/>
        </w:rPr>
      </w:pPr>
      <w:r>
        <w:rPr>
          <w:rFonts w:cs="Times New Roman"/>
        </w:rPr>
        <w:t>数据存储采用加密存储</w:t>
      </w:r>
      <w:r>
        <w:rPr>
          <w:rFonts w:hint="eastAsia" w:cs="Times New Roman"/>
        </w:rPr>
        <w:t>，</w:t>
      </w:r>
      <w:r>
        <w:rPr>
          <w:rFonts w:cs="Times New Roman"/>
        </w:rPr>
        <w:t>用于加密的算法应当采用目前工业界流行的加密算法，宜采用国密、AES 算法等经过实际检验和理论验证的算法以确保传输的安全性。</w:t>
      </w:r>
    </w:p>
    <w:p w14:paraId="5FD45217">
      <w:pPr>
        <w:spacing w:before="156" w:after="156"/>
        <w:ind w:firstLine="482"/>
        <w:rPr>
          <w:rFonts w:cs="Times New Roman"/>
        </w:rPr>
      </w:pPr>
      <w:r>
        <w:rPr>
          <w:rFonts w:cs="Times New Roman"/>
          <w:b/>
          <w:kern w:val="0"/>
          <w:lang w:val="zh-CN"/>
        </w:rPr>
        <w:t>2</w:t>
      </w:r>
      <w:r>
        <w:rPr>
          <w:rFonts w:cs="Times New Roman"/>
          <w:kern w:val="0"/>
          <w:lang w:val="zh-CN"/>
        </w:rPr>
        <w:t xml:space="preserve">  </w:t>
      </w:r>
      <w:r>
        <w:rPr>
          <w:rFonts w:cs="Times New Roman"/>
        </w:rPr>
        <w:t>数字水印</w:t>
      </w:r>
    </w:p>
    <w:p w14:paraId="6F5E31D7">
      <w:pPr>
        <w:spacing w:before="156" w:after="156"/>
        <w:ind w:firstLine="480"/>
        <w:rPr>
          <w:rFonts w:hint="eastAsia" w:eastAsia="宋体" w:cs="Times New Roman"/>
          <w:lang w:eastAsia="zh-CN"/>
        </w:rPr>
      </w:pPr>
      <w:r>
        <w:rPr>
          <w:rFonts w:cs="Times New Roman"/>
        </w:rPr>
        <w:t>（1）为避</w:t>
      </w:r>
      <w:r>
        <w:rPr>
          <w:rFonts w:hint="eastAsia" w:cs="Times New Roman"/>
        </w:rPr>
        <w:t>免</w:t>
      </w:r>
      <w:r>
        <w:rPr>
          <w:rFonts w:cs="Times New Roman"/>
        </w:rPr>
        <w:t>已发布数据被滥用和篡改的风险</w:t>
      </w:r>
      <w:r>
        <w:rPr>
          <w:rFonts w:hint="eastAsia" w:cs="Times New Roman"/>
        </w:rPr>
        <w:t>，</w:t>
      </w:r>
      <w:r>
        <w:rPr>
          <w:rFonts w:cs="Times New Roman"/>
        </w:rPr>
        <w:t>宜在数据文件中增加用于身份识别的水印，以确保文件的来源（信息）不遭到篡改</w:t>
      </w:r>
      <w:r>
        <w:rPr>
          <w:rFonts w:hint="eastAsia" w:cs="Times New Roman"/>
          <w:lang w:eastAsia="zh-CN"/>
        </w:rPr>
        <w:t>。</w:t>
      </w:r>
    </w:p>
    <w:p w14:paraId="0BAAFE1E">
      <w:pPr>
        <w:pStyle w:val="7"/>
        <w:spacing w:before="156" w:after="156"/>
        <w:ind w:firstLine="480"/>
        <w:rPr>
          <w:rFonts w:hint="eastAsia" w:ascii="Times New Roman" w:hAnsi="Times New Roman" w:eastAsia="宋体"/>
          <w:lang w:eastAsia="zh-CN"/>
        </w:rPr>
      </w:pPr>
      <w:r>
        <w:rPr>
          <w:rFonts w:ascii="Times New Roman" w:hAnsi="Times New Roman"/>
        </w:rPr>
        <w:t>（2）水印技术应注重隐秘性，应确保嵌入数字水印不会严重损害原数据的质量，并要求不易被用户察觉</w:t>
      </w:r>
      <w:r>
        <w:rPr>
          <w:rFonts w:hint="eastAsia" w:ascii="Times New Roman" w:hAnsi="Times New Roman"/>
          <w:lang w:eastAsia="zh-CN"/>
        </w:rPr>
        <w:t>。</w:t>
      </w:r>
    </w:p>
    <w:p w14:paraId="39E385DD">
      <w:pPr>
        <w:spacing w:before="156" w:after="156"/>
        <w:ind w:firstLine="480"/>
        <w:rPr>
          <w:rFonts w:cs="Times New Roman"/>
        </w:rPr>
      </w:pPr>
      <w:r>
        <w:rPr>
          <w:rFonts w:cs="Times New Roman"/>
        </w:rPr>
        <w:t>（3）水印图案宜采用电子签章等具有公信力的图案，作为版权保护的重要依据。</w:t>
      </w:r>
    </w:p>
    <w:p w14:paraId="68933544">
      <w:pPr>
        <w:spacing w:before="156" w:after="156"/>
        <w:ind w:firstLine="482"/>
        <w:rPr>
          <w:rFonts w:cs="Times New Roman"/>
        </w:rPr>
      </w:pPr>
      <w:r>
        <w:rPr>
          <w:rFonts w:cs="Times New Roman"/>
          <w:b/>
          <w:kern w:val="0"/>
          <w:lang w:val="zh-CN"/>
        </w:rPr>
        <w:t>3</w:t>
      </w:r>
      <w:r>
        <w:rPr>
          <w:rFonts w:cs="Times New Roman"/>
          <w:kern w:val="0"/>
          <w:lang w:val="zh-CN"/>
        </w:rPr>
        <w:t xml:space="preserve">  </w:t>
      </w:r>
      <w:r>
        <w:rPr>
          <w:rFonts w:cs="Times New Roman"/>
        </w:rPr>
        <w:t>备份存储</w:t>
      </w:r>
    </w:p>
    <w:p w14:paraId="726F6491">
      <w:pPr>
        <w:spacing w:before="156" w:after="156"/>
        <w:ind w:firstLine="480"/>
        <w:rPr>
          <w:rFonts w:hint="eastAsia" w:eastAsia="宋体" w:cs="Times New Roman"/>
          <w:lang w:eastAsia="zh-CN"/>
        </w:rPr>
      </w:pPr>
      <w:r>
        <w:rPr>
          <w:rFonts w:cs="Times New Roman"/>
        </w:rPr>
        <w:t>（1）为了缓解由于软硬件失效或灾害导致数据丢失风险</w:t>
      </w:r>
      <w:r>
        <w:rPr>
          <w:rFonts w:hint="eastAsia" w:cs="Times New Roman"/>
        </w:rPr>
        <w:t>，</w:t>
      </w:r>
      <w:r>
        <w:rPr>
          <w:rFonts w:cs="Times New Roman"/>
        </w:rPr>
        <w:t>对于重要的数据宜使用分布式存储或异地备份</w:t>
      </w:r>
      <w:r>
        <w:rPr>
          <w:rFonts w:hint="eastAsia" w:cs="Times New Roman"/>
          <w:lang w:eastAsia="zh-CN"/>
        </w:rPr>
        <w:t>。</w:t>
      </w:r>
    </w:p>
    <w:p w14:paraId="3671F9F9">
      <w:pPr>
        <w:spacing w:before="156" w:after="156"/>
        <w:ind w:firstLine="480"/>
        <w:rPr>
          <w:rFonts w:hint="eastAsia" w:eastAsia="宋体" w:cs="Times New Roman"/>
          <w:lang w:eastAsia="zh-CN"/>
        </w:rPr>
      </w:pPr>
      <w:r>
        <w:rPr>
          <w:rFonts w:cs="Times New Roman"/>
        </w:rPr>
        <w:t>（2）对于采用分布式存储与备份的数据系统</w:t>
      </w:r>
      <w:r>
        <w:rPr>
          <w:rFonts w:hint="eastAsia" w:cs="Times New Roman"/>
        </w:rPr>
        <w:t>，</w:t>
      </w:r>
      <w:r>
        <w:rPr>
          <w:rFonts w:cs="Times New Roman"/>
        </w:rPr>
        <w:t>应采用可靠的具有自动备份与同步机制的产品，须保证存储内容的唯一性，避免因为同时读写而造成文件不一致或读写不一致问题</w:t>
      </w:r>
      <w:r>
        <w:rPr>
          <w:rFonts w:hint="eastAsia" w:cs="Times New Roman"/>
          <w:lang w:eastAsia="zh-CN"/>
        </w:rPr>
        <w:t>。</w:t>
      </w:r>
    </w:p>
    <w:p w14:paraId="4D8FA37E">
      <w:pPr>
        <w:spacing w:before="156" w:after="156"/>
        <w:ind w:firstLine="480"/>
        <w:rPr>
          <w:rFonts w:cs="Times New Roman"/>
        </w:rPr>
      </w:pPr>
      <w:r>
        <w:rPr>
          <w:rFonts w:cs="Times New Roman"/>
        </w:rPr>
        <w:t>（3）配置分布式存储设备时，须保证存储方式具备可拓展性，能够以较低的成本对存储设备扩容。</w:t>
      </w:r>
    </w:p>
    <w:p w14:paraId="1A7FF10B">
      <w:pPr>
        <w:spacing w:before="156" w:after="156"/>
        <w:ind w:firstLine="482"/>
        <w:rPr>
          <w:rFonts w:cs="Times New Roman"/>
        </w:rPr>
      </w:pPr>
      <w:r>
        <w:rPr>
          <w:rFonts w:cs="Times New Roman"/>
          <w:b/>
          <w:kern w:val="0"/>
          <w:lang w:val="zh-CN"/>
        </w:rPr>
        <w:t>4</w:t>
      </w:r>
      <w:r>
        <w:rPr>
          <w:rFonts w:cs="Times New Roman"/>
          <w:kern w:val="0"/>
          <w:lang w:val="zh-CN"/>
        </w:rPr>
        <w:t xml:space="preserve">  </w:t>
      </w:r>
      <w:r>
        <w:rPr>
          <w:rFonts w:cs="Times New Roman"/>
        </w:rPr>
        <w:t>敏感数据内容包括：</w:t>
      </w:r>
    </w:p>
    <w:p w14:paraId="394EE56C">
      <w:pPr>
        <w:spacing w:before="156" w:after="156"/>
        <w:ind w:firstLine="480"/>
        <w:rPr>
          <w:rFonts w:hint="eastAsia" w:eastAsia="宋体" w:cs="Times New Roman"/>
          <w:lang w:eastAsia="zh-CN"/>
        </w:rPr>
      </w:pPr>
      <w:r>
        <w:rPr>
          <w:rFonts w:cs="Times New Roman"/>
        </w:rPr>
        <w:t>（1）数据中嵌入的个人隐私信息，包括姓名、地址、联系方式、证件号码等其他信息</w:t>
      </w:r>
      <w:r>
        <w:rPr>
          <w:rFonts w:hint="eastAsia" w:cs="Times New Roman"/>
          <w:lang w:eastAsia="zh-CN"/>
        </w:rPr>
        <w:t>。</w:t>
      </w:r>
    </w:p>
    <w:p w14:paraId="22C44371">
      <w:pPr>
        <w:spacing w:before="156" w:after="156"/>
        <w:ind w:firstLine="480"/>
        <w:rPr>
          <w:rFonts w:hint="eastAsia" w:eastAsia="宋体" w:cs="Times New Roman"/>
          <w:lang w:eastAsia="zh-CN"/>
        </w:rPr>
      </w:pPr>
      <w:r>
        <w:rPr>
          <w:rFonts w:cs="Times New Roman"/>
        </w:rPr>
        <w:t>（2）数据中嵌入的本企业</w:t>
      </w:r>
      <w:r>
        <w:rPr>
          <w:rFonts w:hint="eastAsia" w:cs="Times New Roman"/>
          <w:lang w:eastAsia="zh-CN"/>
        </w:rPr>
        <w:t>与其他企业</w:t>
      </w:r>
      <w:r>
        <w:rPr>
          <w:rFonts w:cs="Times New Roman"/>
        </w:rPr>
        <w:t>或部门的涉及组织机构、业务流程、运营状况等敏感信息</w:t>
      </w:r>
      <w:r>
        <w:rPr>
          <w:rFonts w:hint="eastAsia" w:cs="Times New Roman"/>
          <w:lang w:eastAsia="zh-CN"/>
        </w:rPr>
        <w:t>。</w:t>
      </w:r>
    </w:p>
    <w:p w14:paraId="5E5C0C68">
      <w:pPr>
        <w:spacing w:before="156" w:after="156"/>
        <w:ind w:firstLine="480"/>
        <w:rPr>
          <w:rFonts w:cs="Times New Roman"/>
        </w:rPr>
      </w:pPr>
      <w:r>
        <w:rPr>
          <w:rFonts w:cs="Times New Roman"/>
        </w:rPr>
        <w:t>（3）数据收集者有可能从大量数据中通过统计、数据挖掘等方法推断出的敏感信息。</w:t>
      </w:r>
    </w:p>
    <w:p w14:paraId="0C54E121">
      <w:pPr>
        <w:pStyle w:val="3"/>
        <w:spacing w:before="156" w:after="156"/>
        <w:ind w:firstLine="482"/>
        <w:rPr>
          <w:rFonts w:hint="default" w:eastAsia="黑体" w:cs="Times New Roman"/>
          <w:lang w:val="en-US" w:eastAsia="zh-CN"/>
        </w:rPr>
      </w:pPr>
      <w:bookmarkStart w:id="28" w:name="_Toc17313"/>
      <w:bookmarkStart w:id="29" w:name="_Toc17488"/>
      <w:r>
        <w:rPr>
          <w:rFonts w:cs="Times New Roman"/>
        </w:rPr>
        <w:t>4.</w:t>
      </w:r>
      <w:r>
        <w:rPr>
          <w:rFonts w:hint="eastAsia" w:cs="Times New Roman"/>
          <w:lang w:val="en-US" w:eastAsia="zh-CN"/>
        </w:rPr>
        <w:t>7</w:t>
      </w:r>
      <w:r>
        <w:rPr>
          <w:rFonts w:cs="Times New Roman"/>
        </w:rPr>
        <w:t xml:space="preserve">  </w:t>
      </w:r>
      <w:r>
        <w:rPr>
          <w:rFonts w:cs="Times New Roman"/>
          <w:b w:val="0"/>
          <w:bCs w:val="0"/>
        </w:rPr>
        <w:t>环境</w:t>
      </w:r>
      <w:bookmarkEnd w:id="28"/>
      <w:r>
        <w:rPr>
          <w:rFonts w:hint="eastAsia" w:cs="Times New Roman"/>
          <w:b w:val="0"/>
          <w:bCs w:val="0"/>
          <w:lang w:val="en-US" w:eastAsia="zh-CN"/>
        </w:rPr>
        <w:t>与设备</w:t>
      </w:r>
      <w:bookmarkEnd w:id="29"/>
    </w:p>
    <w:p w14:paraId="2F4D5F52">
      <w:pPr>
        <w:spacing w:before="156" w:after="156"/>
        <w:ind w:firstLine="0" w:firstLineChars="0"/>
        <w:rPr>
          <w:rFonts w:hint="eastAsia" w:eastAsia="宋体" w:cs="Times New Roman"/>
          <w:szCs w:val="21"/>
          <w:lang w:val="en-US" w:eastAsia="zh-CN"/>
        </w:rPr>
      </w:pPr>
      <w:r>
        <w:rPr>
          <w:rFonts w:cs="Times New Roman"/>
          <w:b/>
        </w:rPr>
        <w:t>4.</w:t>
      </w:r>
      <w:r>
        <w:rPr>
          <w:rFonts w:hint="eastAsia" w:cs="Times New Roman"/>
          <w:b/>
          <w:lang w:val="en-US" w:eastAsia="zh-CN"/>
        </w:rPr>
        <w:t>7</w:t>
      </w:r>
      <w:r>
        <w:rPr>
          <w:rFonts w:cs="Times New Roman"/>
          <w:b/>
        </w:rPr>
        <w:t>.1</w:t>
      </w:r>
      <w:r>
        <w:rPr>
          <w:rFonts w:hint="eastAsia" w:cs="Times New Roman"/>
          <w:b/>
          <w:lang w:val="en-US" w:eastAsia="zh-CN"/>
        </w:rPr>
        <w:t xml:space="preserve"> </w:t>
      </w:r>
      <w:r>
        <w:rPr>
          <w:rFonts w:cs="Times New Roman"/>
          <w:b/>
        </w:rPr>
        <w:t xml:space="preserve"> </w:t>
      </w:r>
      <w:r>
        <w:rPr>
          <w:rFonts w:cs="Times New Roman"/>
          <w:szCs w:val="21"/>
        </w:rPr>
        <w:t>存储</w:t>
      </w:r>
      <w:r>
        <w:rPr>
          <w:rFonts w:hint="eastAsia" w:cs="Times New Roman"/>
          <w:szCs w:val="21"/>
          <w:lang w:val="en-US" w:eastAsia="zh-CN"/>
        </w:rPr>
        <w:t>环境</w:t>
      </w:r>
    </w:p>
    <w:p w14:paraId="464E8655">
      <w:pPr>
        <w:spacing w:before="156" w:after="156"/>
        <w:ind w:firstLine="482"/>
        <w:rPr>
          <w:rFonts w:cs="Times New Roman"/>
          <w:szCs w:val="21"/>
        </w:rPr>
      </w:pPr>
      <w:r>
        <w:rPr>
          <w:rFonts w:cs="Times New Roman"/>
          <w:b/>
          <w:kern w:val="0"/>
          <w:lang w:val="zh-CN"/>
        </w:rPr>
        <w:t>1</w:t>
      </w:r>
      <w:r>
        <w:rPr>
          <w:rFonts w:cs="Times New Roman"/>
          <w:kern w:val="0"/>
          <w:lang w:val="zh-CN"/>
        </w:rPr>
        <w:t xml:space="preserve">  </w:t>
      </w:r>
      <w:r>
        <w:rPr>
          <w:rFonts w:cs="Times New Roman"/>
          <w:szCs w:val="21"/>
        </w:rPr>
        <w:t>软件及系统满足以下要求：</w:t>
      </w:r>
    </w:p>
    <w:p w14:paraId="4D8457E6">
      <w:pPr>
        <w:spacing w:before="156" w:after="156"/>
        <w:ind w:firstLine="480"/>
        <w:rPr>
          <w:rFonts w:hint="eastAsia" w:eastAsia="宋体" w:cs="Times New Roman"/>
          <w:szCs w:val="21"/>
          <w:lang w:eastAsia="zh-CN"/>
        </w:rPr>
      </w:pPr>
      <w:r>
        <w:rPr>
          <w:rFonts w:cs="Times New Roman"/>
        </w:rPr>
        <w:t>（1）应</w:t>
      </w:r>
      <w:r>
        <w:rPr>
          <w:rFonts w:cs="Times New Roman"/>
          <w:szCs w:val="21"/>
        </w:rPr>
        <w:t>支持IP或FCP备份数据的传输</w:t>
      </w:r>
      <w:r>
        <w:rPr>
          <w:rFonts w:hint="eastAsia" w:cs="Times New Roman"/>
          <w:szCs w:val="21"/>
          <w:lang w:eastAsia="zh-CN"/>
        </w:rPr>
        <w:t>。</w:t>
      </w:r>
    </w:p>
    <w:p w14:paraId="692CF768">
      <w:pPr>
        <w:spacing w:before="156" w:after="156"/>
        <w:ind w:firstLine="480"/>
        <w:rPr>
          <w:rFonts w:hint="eastAsia" w:eastAsia="宋体" w:cs="Times New Roman"/>
          <w:szCs w:val="21"/>
          <w:lang w:eastAsia="zh-CN"/>
        </w:rPr>
      </w:pPr>
      <w:r>
        <w:rPr>
          <w:rFonts w:cs="Times New Roman"/>
        </w:rPr>
        <w:t>（2）应</w:t>
      </w:r>
      <w:r>
        <w:rPr>
          <w:rFonts w:cs="Times New Roman"/>
          <w:szCs w:val="21"/>
        </w:rPr>
        <w:t>支持设置备份策略，定制面向任务的备份策略且能通过日历方式设置策略的执行时间，应在备份策略中设置备份数据副本存放的</w:t>
      </w:r>
      <w:r>
        <w:rPr>
          <w:rFonts w:hint="eastAsia" w:cs="Times New Roman"/>
          <w:szCs w:val="21"/>
          <w:lang w:eastAsia="zh-CN"/>
        </w:rPr>
        <w:t>存储介质</w:t>
      </w:r>
      <w:r>
        <w:rPr>
          <w:rFonts w:cs="Times New Roman"/>
          <w:szCs w:val="21"/>
        </w:rPr>
        <w:t>，设置备份方式，完全备份、增量备份或合成备份</w:t>
      </w:r>
      <w:r>
        <w:rPr>
          <w:rFonts w:hint="eastAsia" w:cs="Times New Roman"/>
          <w:szCs w:val="21"/>
          <w:lang w:eastAsia="zh-CN"/>
        </w:rPr>
        <w:t>。</w:t>
      </w:r>
    </w:p>
    <w:p w14:paraId="7D1C3D59">
      <w:pPr>
        <w:spacing w:before="156" w:after="156"/>
        <w:ind w:firstLine="480"/>
        <w:rPr>
          <w:rFonts w:hint="eastAsia" w:eastAsia="宋体" w:cs="Times New Roman"/>
          <w:szCs w:val="21"/>
          <w:lang w:eastAsia="zh-CN"/>
        </w:rPr>
      </w:pPr>
      <w:r>
        <w:rPr>
          <w:rFonts w:cs="Times New Roman"/>
        </w:rPr>
        <w:t>（3）</w:t>
      </w:r>
      <w:r>
        <w:rPr>
          <w:rFonts w:cs="Times New Roman"/>
          <w:szCs w:val="21"/>
        </w:rPr>
        <w:t>应支持设置备份对象的粒度：文件、目录、卷等</w:t>
      </w:r>
      <w:r>
        <w:rPr>
          <w:rFonts w:hint="eastAsia" w:cs="Times New Roman"/>
          <w:szCs w:val="21"/>
          <w:lang w:eastAsia="zh-CN"/>
        </w:rPr>
        <w:t>。</w:t>
      </w:r>
    </w:p>
    <w:p w14:paraId="3F6A871A">
      <w:pPr>
        <w:spacing w:before="156" w:after="156"/>
        <w:ind w:firstLine="480"/>
        <w:rPr>
          <w:rFonts w:hint="eastAsia" w:eastAsia="宋体" w:cs="Times New Roman"/>
          <w:szCs w:val="21"/>
          <w:lang w:eastAsia="zh-CN"/>
        </w:rPr>
      </w:pPr>
      <w:r>
        <w:rPr>
          <w:rFonts w:cs="Times New Roman"/>
        </w:rPr>
        <w:t>（4）</w:t>
      </w:r>
      <w:r>
        <w:rPr>
          <w:rFonts w:cs="Times New Roman"/>
          <w:szCs w:val="21"/>
        </w:rPr>
        <w:t>宜支持一对一、一对多、多对多、级联备份等备份方式</w:t>
      </w:r>
      <w:r>
        <w:rPr>
          <w:rFonts w:hint="eastAsia" w:cs="Times New Roman"/>
          <w:szCs w:val="21"/>
        </w:rPr>
        <w:t>，</w:t>
      </w:r>
      <w:r>
        <w:rPr>
          <w:rFonts w:cs="Times New Roman"/>
          <w:szCs w:val="21"/>
        </w:rPr>
        <w:t>宜支持从应用系统、存储系统备份数据</w:t>
      </w:r>
      <w:r>
        <w:rPr>
          <w:rFonts w:hint="eastAsia" w:cs="Times New Roman"/>
          <w:szCs w:val="21"/>
          <w:lang w:eastAsia="zh-CN"/>
        </w:rPr>
        <w:t>。</w:t>
      </w:r>
    </w:p>
    <w:p w14:paraId="74CDCF60">
      <w:pPr>
        <w:spacing w:before="156" w:after="156"/>
        <w:ind w:firstLine="480"/>
        <w:rPr>
          <w:rFonts w:hint="eastAsia" w:eastAsia="宋体" w:cs="Times New Roman"/>
          <w:szCs w:val="21"/>
          <w:lang w:eastAsia="zh-CN"/>
        </w:rPr>
      </w:pPr>
      <w:r>
        <w:rPr>
          <w:rFonts w:cs="Times New Roman"/>
        </w:rPr>
        <w:t>（5）</w:t>
      </w:r>
      <w:r>
        <w:rPr>
          <w:rFonts w:cs="Times New Roman"/>
          <w:szCs w:val="21"/>
        </w:rPr>
        <w:t>宜支持NDMP协议</w:t>
      </w:r>
      <w:r>
        <w:rPr>
          <w:rFonts w:hint="eastAsia" w:cs="Times New Roman"/>
          <w:szCs w:val="21"/>
          <w:lang w:eastAsia="zh-CN"/>
        </w:rPr>
        <w:t>。</w:t>
      </w:r>
    </w:p>
    <w:p w14:paraId="16999B66">
      <w:pPr>
        <w:spacing w:before="156" w:after="156"/>
        <w:ind w:firstLine="480"/>
        <w:rPr>
          <w:rFonts w:hint="eastAsia" w:eastAsia="宋体" w:cs="Times New Roman"/>
          <w:szCs w:val="21"/>
          <w:lang w:eastAsia="zh-CN"/>
        </w:rPr>
      </w:pPr>
      <w:r>
        <w:rPr>
          <w:rFonts w:cs="Times New Roman"/>
        </w:rPr>
        <w:t>（6）</w:t>
      </w:r>
      <w:r>
        <w:rPr>
          <w:rFonts w:hint="eastAsia" w:cs="Times New Roman"/>
        </w:rPr>
        <w:t>宜</w:t>
      </w:r>
      <w:r>
        <w:rPr>
          <w:rFonts w:cs="Times New Roman"/>
          <w:szCs w:val="21"/>
        </w:rPr>
        <w:t>支持备份任务失败的错误或警告提示，如邮件提醒</w:t>
      </w:r>
      <w:r>
        <w:rPr>
          <w:rFonts w:hint="eastAsia" w:cs="Times New Roman"/>
          <w:szCs w:val="21"/>
          <w:lang w:eastAsia="zh-CN"/>
        </w:rPr>
        <w:t>。</w:t>
      </w:r>
    </w:p>
    <w:p w14:paraId="1DEB65E8">
      <w:pPr>
        <w:spacing w:before="156" w:after="156"/>
        <w:ind w:firstLine="480"/>
        <w:rPr>
          <w:rFonts w:cs="Times New Roman"/>
          <w:szCs w:val="21"/>
        </w:rPr>
      </w:pPr>
      <w:r>
        <w:rPr>
          <w:rFonts w:cs="Times New Roman"/>
        </w:rPr>
        <w:t>（7）</w:t>
      </w:r>
      <w:r>
        <w:rPr>
          <w:rFonts w:cs="Times New Roman"/>
          <w:szCs w:val="21"/>
        </w:rPr>
        <w:t>宜支持对备份数据副本设置进行压缩或重删。</w:t>
      </w:r>
    </w:p>
    <w:p w14:paraId="68C5E310">
      <w:pPr>
        <w:spacing w:before="156" w:after="156"/>
        <w:ind w:left="0" w:leftChars="0" w:firstLine="0" w:firstLineChars="0"/>
        <w:rPr>
          <w:rFonts w:hint="default" w:eastAsia="宋体" w:cs="Times New Roman"/>
          <w:szCs w:val="21"/>
          <w:lang w:val="en-US" w:eastAsia="zh-CN"/>
        </w:rPr>
      </w:pPr>
      <w:r>
        <w:rPr>
          <w:rFonts w:hint="eastAsia" w:cs="Times New Roman"/>
          <w:b/>
          <w:lang w:val="en-US" w:eastAsia="zh-CN"/>
        </w:rPr>
        <w:t xml:space="preserve">4.7.2  </w:t>
      </w:r>
      <w:r>
        <w:rPr>
          <w:rFonts w:hint="eastAsia" w:cs="Times New Roman"/>
          <w:szCs w:val="21"/>
          <w:lang w:val="en-US" w:eastAsia="zh-CN"/>
        </w:rPr>
        <w:t>存储设备</w:t>
      </w:r>
    </w:p>
    <w:p w14:paraId="6AB1448E">
      <w:pPr>
        <w:spacing w:before="156" w:after="156"/>
        <w:ind w:firstLine="482"/>
        <w:rPr>
          <w:rFonts w:cs="Times New Roman"/>
          <w:szCs w:val="21"/>
        </w:rPr>
      </w:pPr>
      <w:r>
        <w:rPr>
          <w:rFonts w:hint="eastAsia" w:cs="Times New Roman"/>
          <w:b/>
          <w:kern w:val="0"/>
          <w:lang w:val="en-US" w:eastAsia="zh-CN"/>
        </w:rPr>
        <w:t>1</w:t>
      </w:r>
      <w:r>
        <w:rPr>
          <w:rFonts w:cs="Times New Roman"/>
          <w:kern w:val="0"/>
          <w:lang w:val="zh-CN"/>
        </w:rPr>
        <w:t xml:space="preserve">  </w:t>
      </w:r>
      <w:r>
        <w:rPr>
          <w:rFonts w:cs="Times New Roman"/>
          <w:szCs w:val="21"/>
        </w:rPr>
        <w:t>硬件设备满足以下要求</w:t>
      </w:r>
    </w:p>
    <w:p w14:paraId="2D9FDC2C">
      <w:pPr>
        <w:spacing w:before="156" w:after="156"/>
        <w:ind w:firstLine="480"/>
        <w:rPr>
          <w:rFonts w:hint="eastAsia" w:eastAsia="宋体" w:cs="Times New Roman"/>
          <w:lang w:eastAsia="zh-CN"/>
        </w:rPr>
      </w:pPr>
      <w:r>
        <w:rPr>
          <w:rFonts w:cs="Times New Roman"/>
        </w:rPr>
        <w:t>（1）需要配置足够的计算机、服务器、网络设备等硬件设备，以支持建筑信息的数字化存储和管理</w:t>
      </w:r>
      <w:r>
        <w:rPr>
          <w:rFonts w:hint="eastAsia" w:cs="Times New Roman"/>
          <w:lang w:eastAsia="zh-CN"/>
        </w:rPr>
        <w:t>。</w:t>
      </w:r>
    </w:p>
    <w:p w14:paraId="68CE3CA1">
      <w:pPr>
        <w:spacing w:before="156" w:after="156"/>
        <w:ind w:firstLine="480"/>
        <w:rPr>
          <w:rFonts w:hint="eastAsia" w:eastAsia="宋体" w:cs="Times New Roman"/>
          <w:highlight w:val="yellow"/>
          <w:lang w:eastAsia="zh-CN"/>
        </w:rPr>
      </w:pPr>
      <w:r>
        <w:rPr>
          <w:rFonts w:cs="Times New Roman"/>
        </w:rPr>
        <w:t>（2）数据存储的环境，包括网络、服务器、办公电脑</w:t>
      </w:r>
      <w:r>
        <w:rPr>
          <w:rFonts w:cs="Times New Roman"/>
          <w:highlight w:val="none"/>
        </w:rPr>
        <w:t>等环境，宜</w:t>
      </w:r>
      <w:r>
        <w:rPr>
          <w:rFonts w:hint="eastAsia" w:cs="Times New Roman"/>
          <w:highlight w:val="none"/>
          <w:lang w:val="en-US" w:eastAsia="zh-CN"/>
        </w:rPr>
        <w:t>采取</w:t>
      </w:r>
      <w:r>
        <w:rPr>
          <w:rFonts w:cs="Times New Roman"/>
          <w:highlight w:val="none"/>
        </w:rPr>
        <w:t>访问控制技术进行使用限制</w:t>
      </w:r>
      <w:r>
        <w:rPr>
          <w:rFonts w:hint="eastAsia" w:cs="Times New Roman"/>
          <w:highlight w:val="none"/>
          <w:lang w:eastAsia="zh-CN"/>
        </w:rPr>
        <w:t>。</w:t>
      </w:r>
    </w:p>
    <w:p w14:paraId="4AF8D29D">
      <w:pPr>
        <w:spacing w:before="156" w:after="156"/>
        <w:ind w:firstLine="480"/>
        <w:rPr>
          <w:rFonts w:cs="Times New Roman"/>
        </w:rPr>
      </w:pPr>
      <w:r>
        <w:rPr>
          <w:rFonts w:cs="Times New Roman"/>
        </w:rPr>
        <w:t>（3）实施数据存储的电脑设备、存储设备、网络设备等</w:t>
      </w:r>
      <w:r>
        <w:rPr>
          <w:rFonts w:hint="eastAsia" w:cs="Times New Roman"/>
        </w:rPr>
        <w:t>宜</w:t>
      </w:r>
      <w:r>
        <w:rPr>
          <w:rFonts w:cs="Times New Roman"/>
        </w:rPr>
        <w:t>进行备案。</w:t>
      </w:r>
    </w:p>
    <w:p w14:paraId="46B4C0FA">
      <w:pPr>
        <w:pStyle w:val="3"/>
        <w:spacing w:before="156" w:after="156"/>
        <w:ind w:firstLine="482"/>
        <w:rPr>
          <w:rFonts w:cs="Times New Roman"/>
        </w:rPr>
      </w:pPr>
      <w:bookmarkStart w:id="30" w:name="_Toc20959"/>
      <w:bookmarkStart w:id="31" w:name="_Toc24368"/>
      <w:r>
        <w:rPr>
          <w:rFonts w:cs="Times New Roman"/>
        </w:rPr>
        <w:t>4.</w:t>
      </w:r>
      <w:r>
        <w:rPr>
          <w:rFonts w:hint="eastAsia" w:cs="Times New Roman"/>
          <w:lang w:val="en-US" w:eastAsia="zh-CN"/>
        </w:rPr>
        <w:t>8</w:t>
      </w:r>
      <w:r>
        <w:rPr>
          <w:rFonts w:cs="Times New Roman"/>
        </w:rPr>
        <w:t xml:space="preserve">  </w:t>
      </w:r>
      <w:r>
        <w:rPr>
          <w:rFonts w:hint="eastAsia" w:cs="Times New Roman"/>
          <w:b w:val="0"/>
          <w:bCs w:val="0"/>
          <w:lang w:val="en-US" w:eastAsia="zh-CN"/>
        </w:rPr>
        <w:t>巡查与</w:t>
      </w:r>
      <w:r>
        <w:rPr>
          <w:rFonts w:cs="Times New Roman"/>
          <w:b w:val="0"/>
          <w:bCs w:val="0"/>
        </w:rPr>
        <w:t>维护</w:t>
      </w:r>
      <w:bookmarkEnd w:id="30"/>
      <w:bookmarkEnd w:id="31"/>
    </w:p>
    <w:p w14:paraId="1F5C1EE6">
      <w:pPr>
        <w:spacing w:before="156" w:after="156"/>
        <w:ind w:firstLine="0" w:firstLineChars="0"/>
        <w:rPr>
          <w:rFonts w:cs="Times New Roman"/>
          <w:szCs w:val="21"/>
        </w:rPr>
      </w:pPr>
      <w:r>
        <w:rPr>
          <w:rFonts w:cs="Times New Roman"/>
          <w:b/>
        </w:rPr>
        <w:t>4.</w:t>
      </w:r>
      <w:r>
        <w:rPr>
          <w:rFonts w:hint="eastAsia" w:cs="Times New Roman"/>
          <w:b/>
          <w:lang w:val="en-US" w:eastAsia="zh-CN"/>
        </w:rPr>
        <w:t>8</w:t>
      </w:r>
      <w:r>
        <w:rPr>
          <w:rFonts w:cs="Times New Roman"/>
          <w:b/>
        </w:rPr>
        <w:t xml:space="preserve">.1  </w:t>
      </w:r>
      <w:r>
        <w:rPr>
          <w:rFonts w:cs="Times New Roman"/>
          <w:szCs w:val="21"/>
        </w:rPr>
        <w:t>数据巡查和清理</w:t>
      </w:r>
    </w:p>
    <w:p w14:paraId="2C1A1C7F">
      <w:pPr>
        <w:spacing w:before="156" w:after="156"/>
        <w:ind w:firstLine="482"/>
        <w:rPr>
          <w:rFonts w:hint="eastAsia" w:eastAsia="宋体" w:cs="Times New Roman"/>
          <w:b/>
          <w:kern w:val="0"/>
          <w:lang w:val="zh-CN" w:eastAsia="zh-CN"/>
        </w:rPr>
      </w:pPr>
      <w:r>
        <w:rPr>
          <w:rFonts w:cs="Times New Roman"/>
          <w:b/>
          <w:kern w:val="0"/>
          <w:lang w:val="zh-CN"/>
        </w:rPr>
        <w:t>1</w:t>
      </w:r>
      <w:r>
        <w:rPr>
          <w:rFonts w:cs="Times New Roman"/>
          <w:kern w:val="0"/>
          <w:lang w:val="zh-CN"/>
        </w:rPr>
        <w:t xml:space="preserve">  </w:t>
      </w:r>
      <w:r>
        <w:rPr>
          <w:rFonts w:cs="Times New Roman"/>
          <w:szCs w:val="21"/>
        </w:rPr>
        <w:t>基于模型创建、使用和分析处理的相关要求建立数据使用监管机制，约束对数据的正当使用</w:t>
      </w:r>
      <w:r>
        <w:rPr>
          <w:rFonts w:hint="eastAsia" w:cs="Times New Roman"/>
          <w:szCs w:val="21"/>
          <w:lang w:eastAsia="zh-CN"/>
        </w:rPr>
        <w:t>。</w:t>
      </w:r>
    </w:p>
    <w:p w14:paraId="00C3FDCC">
      <w:pPr>
        <w:spacing w:before="156" w:after="156"/>
        <w:ind w:firstLine="482"/>
        <w:rPr>
          <w:rFonts w:hint="eastAsia" w:eastAsia="宋体" w:cs="Times New Roman"/>
          <w:szCs w:val="21"/>
          <w:lang w:eastAsia="zh-CN"/>
        </w:rPr>
      </w:pPr>
      <w:r>
        <w:rPr>
          <w:rFonts w:cs="Times New Roman"/>
          <w:b/>
          <w:kern w:val="0"/>
          <w:lang w:val="zh-CN"/>
        </w:rPr>
        <w:t xml:space="preserve">2  </w:t>
      </w:r>
      <w:r>
        <w:rPr>
          <w:rFonts w:cs="Times New Roman"/>
          <w:szCs w:val="21"/>
        </w:rPr>
        <w:t>对模型的创建、自查、提交、审批、使用行为进行记录，并按照约定的规则进行模型</w:t>
      </w:r>
      <w:r>
        <w:rPr>
          <w:rFonts w:hint="eastAsia" w:cs="Times New Roman"/>
          <w:szCs w:val="21"/>
        </w:rPr>
        <w:t>内容及信息的</w:t>
      </w:r>
      <w:r>
        <w:rPr>
          <w:rFonts w:cs="Times New Roman"/>
          <w:szCs w:val="21"/>
        </w:rPr>
        <w:t>匹配检查，对异常的行为、组织或个人进行告警，并</w:t>
      </w:r>
      <w:r>
        <w:rPr>
          <w:rFonts w:hint="eastAsia" w:cs="Times New Roman"/>
          <w:szCs w:val="21"/>
        </w:rPr>
        <w:t>采取相应</w:t>
      </w:r>
      <w:r>
        <w:rPr>
          <w:rFonts w:cs="Times New Roman"/>
          <w:szCs w:val="21"/>
        </w:rPr>
        <w:t>存证</w:t>
      </w:r>
      <w:r>
        <w:rPr>
          <w:rFonts w:hint="eastAsia" w:cs="Times New Roman"/>
          <w:szCs w:val="21"/>
        </w:rPr>
        <w:t>措施</w:t>
      </w:r>
      <w:r>
        <w:rPr>
          <w:rFonts w:hint="eastAsia" w:cs="Times New Roman"/>
          <w:szCs w:val="21"/>
          <w:lang w:eastAsia="zh-CN"/>
        </w:rPr>
        <w:t>。</w:t>
      </w:r>
    </w:p>
    <w:p w14:paraId="79EC1D6C">
      <w:pPr>
        <w:spacing w:before="156" w:after="156"/>
        <w:ind w:firstLine="482"/>
        <w:rPr>
          <w:rFonts w:hint="eastAsia" w:eastAsia="宋体" w:cs="Times New Roman"/>
          <w:szCs w:val="21"/>
          <w:lang w:eastAsia="zh-CN"/>
        </w:rPr>
      </w:pPr>
      <w:r>
        <w:rPr>
          <w:rFonts w:cs="Times New Roman"/>
          <w:b/>
          <w:kern w:val="0"/>
          <w:lang w:val="zh-CN"/>
        </w:rPr>
        <w:t xml:space="preserve">3  </w:t>
      </w:r>
      <w:r>
        <w:rPr>
          <w:rFonts w:cs="Times New Roman"/>
          <w:szCs w:val="21"/>
        </w:rPr>
        <w:t>建立模型使用反馈机制，对数据资产变化、访问行为、数据流向、数据敏感程度变化向提供方或管理方进行反馈，并存证于区块链</w:t>
      </w:r>
      <w:r>
        <w:rPr>
          <w:rFonts w:hint="eastAsia" w:cs="Times New Roman"/>
          <w:szCs w:val="21"/>
          <w:lang w:eastAsia="zh-CN"/>
        </w:rPr>
        <w:t>。</w:t>
      </w:r>
    </w:p>
    <w:p w14:paraId="7231BFC7">
      <w:pPr>
        <w:spacing w:before="156" w:after="156"/>
        <w:ind w:firstLine="482"/>
        <w:rPr>
          <w:rFonts w:hint="eastAsia" w:eastAsia="宋体" w:cs="Times New Roman"/>
          <w:szCs w:val="21"/>
          <w:lang w:eastAsia="zh-CN"/>
        </w:rPr>
      </w:pPr>
      <w:r>
        <w:rPr>
          <w:rFonts w:cs="Times New Roman"/>
          <w:b/>
          <w:kern w:val="0"/>
          <w:lang w:val="zh-CN"/>
        </w:rPr>
        <w:t>4</w:t>
      </w:r>
      <w:r>
        <w:rPr>
          <w:rFonts w:cs="Times New Roman"/>
          <w:kern w:val="0"/>
          <w:lang w:val="zh-CN"/>
        </w:rPr>
        <w:t xml:space="preserve">  </w:t>
      </w:r>
      <w:r>
        <w:rPr>
          <w:rFonts w:cs="Times New Roman"/>
          <w:szCs w:val="21"/>
        </w:rPr>
        <w:t>对</w:t>
      </w:r>
      <w:r>
        <w:rPr>
          <w:rFonts w:hint="eastAsia" w:cs="Times New Roman"/>
          <w:szCs w:val="21"/>
          <w:lang w:eastAsia="zh-CN"/>
        </w:rPr>
        <w:t>接收</w:t>
      </w:r>
      <w:r>
        <w:rPr>
          <w:rFonts w:cs="Times New Roman"/>
          <w:szCs w:val="21"/>
        </w:rPr>
        <w:t>的模型数据的后续处理与使用情况反馈进行统计分析，对异常使用进行告警，并通过适当机制向模型提供方进行通知</w:t>
      </w:r>
      <w:r>
        <w:rPr>
          <w:rFonts w:hint="eastAsia" w:cs="Times New Roman"/>
          <w:szCs w:val="21"/>
          <w:lang w:eastAsia="zh-CN"/>
        </w:rPr>
        <w:t>。</w:t>
      </w:r>
    </w:p>
    <w:p w14:paraId="7997314C">
      <w:pPr>
        <w:spacing w:before="156" w:after="156"/>
        <w:ind w:firstLine="0" w:firstLineChars="0"/>
        <w:rPr>
          <w:rFonts w:cs="Times New Roman"/>
          <w:szCs w:val="21"/>
        </w:rPr>
      </w:pPr>
      <w:r>
        <w:rPr>
          <w:rFonts w:cs="Times New Roman"/>
          <w:b/>
        </w:rPr>
        <w:t>4.</w:t>
      </w:r>
      <w:r>
        <w:rPr>
          <w:rFonts w:hint="eastAsia" w:cs="Times New Roman"/>
          <w:b/>
          <w:lang w:val="en-US" w:eastAsia="zh-CN"/>
        </w:rPr>
        <w:t>8</w:t>
      </w:r>
      <w:r>
        <w:rPr>
          <w:rFonts w:cs="Times New Roman"/>
          <w:b/>
        </w:rPr>
        <w:t xml:space="preserve">.2  </w:t>
      </w:r>
      <w:r>
        <w:rPr>
          <w:rFonts w:cs="Times New Roman"/>
          <w:szCs w:val="21"/>
        </w:rPr>
        <w:t>存储设备维护</w:t>
      </w:r>
    </w:p>
    <w:p w14:paraId="384B2220">
      <w:pPr>
        <w:spacing w:before="156" w:after="156"/>
        <w:ind w:firstLine="482"/>
        <w:rPr>
          <w:rFonts w:hint="eastAsia" w:eastAsia="宋体" w:cs="Times New Roman"/>
          <w:szCs w:val="21"/>
          <w:lang w:eastAsia="zh-CN"/>
        </w:rPr>
      </w:pPr>
      <w:r>
        <w:rPr>
          <w:rFonts w:cs="Times New Roman"/>
          <w:b/>
          <w:kern w:val="0"/>
          <w:lang w:val="zh-CN"/>
        </w:rPr>
        <w:t>1</w:t>
      </w:r>
      <w:r>
        <w:rPr>
          <w:rFonts w:cs="Times New Roman"/>
          <w:kern w:val="0"/>
          <w:lang w:val="zh-CN"/>
        </w:rPr>
        <w:t xml:space="preserve">  </w:t>
      </w:r>
      <w:r>
        <w:rPr>
          <w:rFonts w:cs="Times New Roman"/>
          <w:szCs w:val="21"/>
        </w:rPr>
        <w:t>设备定期维护：定期对存储设备进行检查、清洁、更换故障部件等维护工作，确保设备的正常运行</w:t>
      </w:r>
      <w:r>
        <w:rPr>
          <w:rFonts w:hint="eastAsia" w:cs="Times New Roman"/>
          <w:szCs w:val="21"/>
          <w:lang w:eastAsia="zh-CN"/>
        </w:rPr>
        <w:t>。</w:t>
      </w:r>
    </w:p>
    <w:p w14:paraId="356906A8">
      <w:pPr>
        <w:spacing w:before="156" w:after="156"/>
        <w:ind w:firstLine="482"/>
        <w:rPr>
          <w:rFonts w:hint="eastAsia" w:eastAsia="宋体" w:cs="Times New Roman"/>
          <w:szCs w:val="21"/>
          <w:lang w:eastAsia="zh-CN"/>
        </w:rPr>
      </w:pPr>
      <w:r>
        <w:rPr>
          <w:rFonts w:cs="Times New Roman"/>
          <w:b/>
          <w:kern w:val="0"/>
          <w:lang w:val="zh-CN"/>
        </w:rPr>
        <w:t>2</w:t>
      </w:r>
      <w:r>
        <w:rPr>
          <w:rFonts w:cs="Times New Roman"/>
          <w:kern w:val="0"/>
          <w:lang w:val="zh-CN"/>
        </w:rPr>
        <w:t xml:space="preserve">  </w:t>
      </w:r>
      <w:r>
        <w:rPr>
          <w:rFonts w:cs="Times New Roman"/>
          <w:szCs w:val="21"/>
        </w:rPr>
        <w:t>故障处理：对于存储设备的故障，需要进行及时</w:t>
      </w:r>
      <w:r>
        <w:rPr>
          <w:rFonts w:hint="eastAsia" w:cs="Times New Roman"/>
          <w:szCs w:val="21"/>
          <w:lang w:eastAsia="zh-CN"/>
        </w:rPr>
        <w:t>地</w:t>
      </w:r>
      <w:r>
        <w:rPr>
          <w:rFonts w:cs="Times New Roman"/>
          <w:szCs w:val="21"/>
        </w:rPr>
        <w:t>处理和修复，以保证业务的连续性</w:t>
      </w:r>
      <w:r>
        <w:rPr>
          <w:rFonts w:hint="eastAsia" w:cs="Times New Roman"/>
          <w:szCs w:val="21"/>
          <w:lang w:eastAsia="zh-CN"/>
        </w:rPr>
        <w:t>。</w:t>
      </w:r>
    </w:p>
    <w:p w14:paraId="63F54E67">
      <w:pPr>
        <w:spacing w:before="156" w:after="156"/>
        <w:ind w:firstLine="482"/>
        <w:rPr>
          <w:rFonts w:hint="eastAsia" w:cs="Times New Roman"/>
          <w:szCs w:val="21"/>
          <w:lang w:eastAsia="zh-CN"/>
        </w:rPr>
      </w:pPr>
      <w:r>
        <w:rPr>
          <w:rFonts w:cs="Times New Roman"/>
          <w:b/>
          <w:kern w:val="0"/>
          <w:lang w:val="zh-CN"/>
        </w:rPr>
        <w:t>3</w:t>
      </w:r>
      <w:r>
        <w:rPr>
          <w:rFonts w:cs="Times New Roman"/>
          <w:kern w:val="0"/>
          <w:lang w:val="zh-CN"/>
        </w:rPr>
        <w:t xml:space="preserve">  </w:t>
      </w:r>
      <w:r>
        <w:rPr>
          <w:rFonts w:cs="Times New Roman"/>
          <w:szCs w:val="21"/>
        </w:rPr>
        <w:t>性能优化：对存储设备进行性能监控和调优，保证其性能能够满足业务需求</w:t>
      </w:r>
      <w:r>
        <w:rPr>
          <w:rFonts w:hint="eastAsia" w:cs="Times New Roman"/>
          <w:szCs w:val="21"/>
          <w:lang w:eastAsia="zh-CN"/>
        </w:rPr>
        <w:t>。</w:t>
      </w:r>
    </w:p>
    <w:p w14:paraId="6BD27879">
      <w:pPr>
        <w:rPr>
          <w:rFonts w:hint="eastAsia" w:cs="Times New Roman"/>
          <w:szCs w:val="21"/>
          <w:lang w:eastAsia="zh-CN"/>
        </w:rPr>
      </w:pPr>
      <w:r>
        <w:rPr>
          <w:rFonts w:hint="eastAsia" w:cs="Times New Roman"/>
          <w:szCs w:val="21"/>
          <w:lang w:eastAsia="zh-CN"/>
        </w:rPr>
        <w:br w:type="page"/>
      </w:r>
    </w:p>
    <w:p w14:paraId="1110B1D0">
      <w:pPr>
        <w:pStyle w:val="2"/>
        <w:spacing w:before="156" w:after="156"/>
        <w:ind w:firstLine="0" w:firstLineChars="0"/>
        <w:rPr>
          <w:rFonts w:hint="default" w:eastAsia="宋体" w:cs="Times New Roman"/>
          <w:b w:val="0"/>
          <w:lang w:val="en-US" w:eastAsia="zh-CN"/>
        </w:rPr>
      </w:pPr>
      <w:bookmarkStart w:id="32" w:name="_Toc4503"/>
      <w:bookmarkStart w:id="33" w:name="_Toc32585"/>
      <w:r>
        <w:rPr>
          <w:rFonts w:cs="Times New Roman"/>
        </w:rPr>
        <w:t xml:space="preserve">5  </w:t>
      </w:r>
      <w:bookmarkEnd w:id="32"/>
      <w:r>
        <w:rPr>
          <w:rFonts w:hint="eastAsia" w:cs="Times New Roman"/>
          <w:b w:val="0"/>
          <w:lang w:val="en-US" w:eastAsia="zh-CN"/>
        </w:rPr>
        <w:t>成果归档</w:t>
      </w:r>
      <w:bookmarkEnd w:id="33"/>
    </w:p>
    <w:p w14:paraId="48824464">
      <w:pPr>
        <w:pStyle w:val="3"/>
        <w:spacing w:before="156" w:after="156"/>
        <w:ind w:firstLine="0" w:firstLineChars="0"/>
        <w:rPr>
          <w:rFonts w:cs="Times New Roman"/>
        </w:rPr>
      </w:pPr>
      <w:bookmarkStart w:id="34" w:name="_Toc28226"/>
      <w:bookmarkStart w:id="35" w:name="_Toc17291"/>
      <w:r>
        <w:rPr>
          <w:rFonts w:cs="Times New Roman"/>
        </w:rPr>
        <w:t xml:space="preserve">5.1  </w:t>
      </w:r>
      <w:r>
        <w:rPr>
          <w:rFonts w:cs="Times New Roman"/>
          <w:b w:val="0"/>
        </w:rPr>
        <w:t>一般规定</w:t>
      </w:r>
      <w:bookmarkEnd w:id="34"/>
      <w:bookmarkEnd w:id="35"/>
    </w:p>
    <w:p w14:paraId="6B66F130">
      <w:pPr>
        <w:spacing w:before="156" w:after="156"/>
        <w:ind w:left="0" w:leftChars="0" w:firstLine="0" w:firstLineChars="0"/>
        <w:rPr>
          <w:rFonts w:cs="Times New Roman"/>
          <w:bCs/>
          <w:lang w:val="zh-CN"/>
        </w:rPr>
      </w:pPr>
      <w:bookmarkStart w:id="36" w:name="4.1.4BIM审查系统应以GDB数据文件作为交付物，CIM平台应以施工图设计模"/>
      <w:bookmarkEnd w:id="36"/>
      <w:bookmarkStart w:id="37" w:name="4.1.2工程图纸宜基于施工图设计模型的视图和表格加工而成。"/>
      <w:bookmarkEnd w:id="37"/>
      <w:bookmarkStart w:id="38" w:name="4.1.3工程图纸应有电子签章，工程图纸应与施工图设计模型内容一致。_"/>
      <w:bookmarkEnd w:id="38"/>
      <w:r>
        <w:rPr>
          <w:rFonts w:hint="eastAsia" w:cs="Times New Roman"/>
          <w:b/>
          <w:lang w:val="en-US" w:eastAsia="zh-CN"/>
        </w:rPr>
        <w:t>5.1.1</w:t>
      </w:r>
      <w:r>
        <w:rPr>
          <w:rFonts w:cs="Times New Roman"/>
          <w:b/>
          <w:lang w:val="zh-CN"/>
        </w:rPr>
        <w:t xml:space="preserve">  </w:t>
      </w:r>
      <w:r>
        <w:rPr>
          <w:rFonts w:cs="Times New Roman"/>
          <w:bCs/>
          <w:lang w:val="zh-CN"/>
        </w:rPr>
        <w:t>交付物</w:t>
      </w:r>
      <w:r>
        <w:rPr>
          <w:rFonts w:cs="Times New Roman"/>
          <w:bCs/>
        </w:rPr>
        <w:t>内容、深度及格式等</w:t>
      </w:r>
      <w:r>
        <w:rPr>
          <w:rFonts w:cs="Times New Roman"/>
          <w:bCs/>
          <w:lang w:val="zh-CN"/>
        </w:rPr>
        <w:t>应满足本要求相关章节的规定</w:t>
      </w:r>
      <w:r>
        <w:rPr>
          <w:rFonts w:hint="eastAsia" w:cs="Times New Roman"/>
          <w:bCs/>
          <w:lang w:val="zh-CN"/>
        </w:rPr>
        <w:t>。</w:t>
      </w:r>
    </w:p>
    <w:p w14:paraId="673FB9B1">
      <w:pPr>
        <w:spacing w:before="156" w:after="156"/>
        <w:ind w:left="0" w:leftChars="0" w:firstLine="0" w:firstLineChars="0"/>
        <w:rPr>
          <w:rFonts w:cs="Times New Roman"/>
          <w:bCs/>
          <w:lang w:val="zh-CN"/>
        </w:rPr>
      </w:pPr>
      <w:r>
        <w:rPr>
          <w:rFonts w:hint="eastAsia" w:cs="Times New Roman"/>
          <w:b/>
          <w:lang w:val="en-US" w:eastAsia="zh-CN"/>
        </w:rPr>
        <w:t>5.1.</w:t>
      </w:r>
      <w:r>
        <w:rPr>
          <w:rFonts w:cs="Times New Roman"/>
          <w:b/>
        </w:rPr>
        <w:t>2</w:t>
      </w:r>
      <w:r>
        <w:rPr>
          <w:rFonts w:cs="Times New Roman"/>
          <w:b/>
          <w:lang w:val="zh-CN"/>
        </w:rPr>
        <w:t xml:space="preserve"> </w:t>
      </w:r>
      <w:r>
        <w:rPr>
          <w:rFonts w:cs="Times New Roman"/>
          <w:bCs/>
          <w:lang w:val="zh-CN"/>
        </w:rPr>
        <w:t xml:space="preserve"> 交付物内容必须真实、准确，应与工程实际相符合</w:t>
      </w:r>
      <w:r>
        <w:rPr>
          <w:rFonts w:hint="eastAsia" w:cs="Times New Roman"/>
          <w:bCs/>
          <w:lang w:val="zh-CN"/>
        </w:rPr>
        <w:t>。</w:t>
      </w:r>
    </w:p>
    <w:p w14:paraId="12C3B3DD">
      <w:pPr>
        <w:spacing w:before="156" w:after="156"/>
        <w:ind w:left="0" w:leftChars="0" w:firstLine="0" w:firstLineChars="0"/>
        <w:rPr>
          <w:rFonts w:cs="Times New Roman"/>
          <w:bCs/>
          <w:lang w:val="zh-CN"/>
        </w:rPr>
      </w:pPr>
      <w:r>
        <w:rPr>
          <w:rFonts w:hint="eastAsia" w:cs="Times New Roman"/>
          <w:b/>
          <w:lang w:val="en-US" w:eastAsia="zh-CN"/>
        </w:rPr>
        <w:t>5.1.</w:t>
      </w:r>
      <w:r>
        <w:rPr>
          <w:rFonts w:cs="Times New Roman"/>
          <w:b/>
        </w:rPr>
        <w:t>3</w:t>
      </w:r>
      <w:r>
        <w:rPr>
          <w:rFonts w:cs="Times New Roman"/>
          <w:b/>
          <w:lang w:val="zh-CN"/>
        </w:rPr>
        <w:t xml:space="preserve"> </w:t>
      </w:r>
      <w:r>
        <w:rPr>
          <w:rFonts w:cs="Times New Roman"/>
          <w:bCs/>
          <w:lang w:val="zh-CN"/>
        </w:rPr>
        <w:t xml:space="preserve"> 交付物在交付前应当清理并消除冗余信息</w:t>
      </w:r>
      <w:r>
        <w:rPr>
          <w:rFonts w:hint="eastAsia" w:cs="Times New Roman"/>
          <w:bCs/>
          <w:lang w:val="zh-CN"/>
        </w:rPr>
        <w:t>。</w:t>
      </w:r>
    </w:p>
    <w:p w14:paraId="78D7E2B9">
      <w:pPr>
        <w:spacing w:before="156" w:after="156"/>
        <w:ind w:left="0" w:leftChars="0" w:firstLine="0" w:firstLineChars="0"/>
        <w:rPr>
          <w:rFonts w:cs="Times New Roman"/>
          <w:bCs/>
          <w:lang w:val="zh-CN"/>
        </w:rPr>
      </w:pPr>
      <w:r>
        <w:rPr>
          <w:rFonts w:hint="eastAsia" w:cs="Times New Roman"/>
          <w:b/>
          <w:lang w:val="en-US" w:eastAsia="zh-CN"/>
        </w:rPr>
        <w:t>5.1.</w:t>
      </w:r>
      <w:r>
        <w:rPr>
          <w:rFonts w:cs="Times New Roman"/>
          <w:b/>
        </w:rPr>
        <w:t>4</w:t>
      </w:r>
      <w:r>
        <w:rPr>
          <w:rFonts w:cs="Times New Roman"/>
          <w:bCs/>
          <w:lang w:val="zh-CN"/>
        </w:rPr>
        <w:t xml:space="preserve">  建设工程归档文件如缺失、未涉及、未形成</w:t>
      </w:r>
      <w:r>
        <w:rPr>
          <w:rFonts w:hint="eastAsia" w:cs="Times New Roman"/>
          <w:bCs/>
          <w:lang w:val="zh-CN"/>
        </w:rPr>
        <w:t>和</w:t>
      </w:r>
      <w:r>
        <w:rPr>
          <w:rFonts w:cs="Times New Roman"/>
          <w:bCs/>
          <w:lang w:val="zh-CN"/>
        </w:rPr>
        <w:t>其他工程共用等情况应说明</w:t>
      </w:r>
      <w:r>
        <w:rPr>
          <w:rFonts w:hint="eastAsia" w:cs="Times New Roman"/>
          <w:bCs/>
          <w:lang w:val="zh-CN"/>
        </w:rPr>
        <w:t>。</w:t>
      </w:r>
    </w:p>
    <w:p w14:paraId="0D21D151">
      <w:pPr>
        <w:pStyle w:val="3"/>
        <w:spacing w:before="156" w:after="156"/>
        <w:ind w:firstLine="0" w:firstLineChars="0"/>
        <w:rPr>
          <w:rFonts w:cs="Times New Roman"/>
        </w:rPr>
      </w:pPr>
      <w:bookmarkStart w:id="39" w:name="_Toc3901"/>
      <w:bookmarkStart w:id="40" w:name="_Toc2314"/>
      <w:r>
        <w:rPr>
          <w:rFonts w:cs="Times New Roman"/>
        </w:rPr>
        <w:t xml:space="preserve">5.2  </w:t>
      </w:r>
      <w:r>
        <w:rPr>
          <w:rFonts w:hint="eastAsia" w:ascii="Times New Roman" w:hAnsi="Times New Roman" w:cs="Times New Roman"/>
          <w:b w:val="0"/>
          <w:bCs w:val="0"/>
          <w:lang w:val="en-US" w:eastAsia="zh-CN"/>
        </w:rPr>
        <w:t>文档文件</w:t>
      </w:r>
      <w:r>
        <w:rPr>
          <w:rFonts w:cs="Times New Roman"/>
          <w:b w:val="0"/>
          <w:bCs w:val="0"/>
        </w:rPr>
        <w:t>规定</w:t>
      </w:r>
      <w:bookmarkEnd w:id="39"/>
      <w:bookmarkEnd w:id="40"/>
    </w:p>
    <w:p w14:paraId="6567B883">
      <w:pPr>
        <w:spacing w:before="156" w:after="156"/>
        <w:ind w:firstLine="0" w:firstLineChars="0"/>
        <w:rPr>
          <w:rFonts w:cs="Times New Roman"/>
        </w:rPr>
      </w:pPr>
      <w:r>
        <w:rPr>
          <w:rFonts w:cs="Times New Roman"/>
          <w:b/>
        </w:rPr>
        <w:t xml:space="preserve">5.2.1  </w:t>
      </w:r>
      <w:r>
        <w:rPr>
          <w:rFonts w:cs="Times New Roman"/>
        </w:rPr>
        <w:t>基本规定</w:t>
      </w:r>
    </w:p>
    <w:p w14:paraId="571E5A3F">
      <w:pPr>
        <w:spacing w:before="156" w:after="156"/>
        <w:ind w:firstLine="482"/>
        <w:rPr>
          <w:rFonts w:cs="Times New Roman"/>
          <w:bCs/>
        </w:rPr>
      </w:pPr>
      <w:r>
        <w:rPr>
          <w:rFonts w:cs="Times New Roman"/>
          <w:b/>
        </w:rPr>
        <w:t xml:space="preserve">1 </w:t>
      </w:r>
      <w:r>
        <w:rPr>
          <w:rFonts w:cs="Times New Roman"/>
          <w:bCs/>
        </w:rPr>
        <w:t xml:space="preserve"> 工程文件的内容及其深度应符合国家现行有关工程勘察、设计、施工、监理等标准的规定；</w:t>
      </w:r>
    </w:p>
    <w:p w14:paraId="427908DD">
      <w:pPr>
        <w:spacing w:before="156" w:after="156"/>
        <w:ind w:firstLine="482"/>
        <w:rPr>
          <w:rFonts w:cs="Times New Roman"/>
          <w:bCs/>
        </w:rPr>
      </w:pPr>
      <w:r>
        <w:rPr>
          <w:rFonts w:cs="Times New Roman"/>
          <w:b/>
          <w:bCs/>
        </w:rPr>
        <w:t>2</w:t>
      </w:r>
      <w:r>
        <w:rPr>
          <w:rFonts w:cs="Times New Roman"/>
        </w:rPr>
        <w:t xml:space="preserve">  对其他需要交付的电子</w:t>
      </w:r>
      <w:r>
        <w:rPr>
          <w:rFonts w:hint="eastAsia" w:cs="Times New Roman"/>
          <w:lang w:val="en-US" w:eastAsia="zh-CN"/>
        </w:rPr>
        <w:t>文件</w:t>
      </w:r>
      <w:r>
        <w:rPr>
          <w:rFonts w:cs="Times New Roman"/>
        </w:rPr>
        <w:t>，应按相关主管部门要求予以交付。</w:t>
      </w:r>
    </w:p>
    <w:p w14:paraId="3855E84B">
      <w:pPr>
        <w:spacing w:before="156" w:after="156"/>
        <w:ind w:firstLine="0" w:firstLineChars="0"/>
        <w:rPr>
          <w:rFonts w:cs="Times New Roman"/>
        </w:rPr>
      </w:pPr>
      <w:r>
        <w:rPr>
          <w:rFonts w:cs="Times New Roman"/>
          <w:b/>
        </w:rPr>
        <w:t xml:space="preserve">5.2.2  </w:t>
      </w:r>
      <w:r>
        <w:rPr>
          <w:rFonts w:cs="Times New Roman"/>
        </w:rPr>
        <w:t>交付要求</w:t>
      </w:r>
    </w:p>
    <w:p w14:paraId="52BD4F33">
      <w:pPr>
        <w:spacing w:before="156" w:after="156"/>
        <w:ind w:firstLine="482"/>
        <w:rPr>
          <w:rFonts w:cs="Times New Roman"/>
          <w:bCs/>
        </w:rPr>
      </w:pPr>
      <w:r>
        <w:rPr>
          <w:rFonts w:cs="Times New Roman"/>
          <w:b/>
          <w:bCs/>
        </w:rPr>
        <w:t xml:space="preserve">1  </w:t>
      </w:r>
      <w:r>
        <w:rPr>
          <w:rFonts w:cs="Times New Roman"/>
          <w:bCs/>
        </w:rPr>
        <w:t>电子文件形成单位应保障电子文件随工程建设同步形成，并应对电子文件的形成、组卷、归档、保管及利用进行全过程管理；</w:t>
      </w:r>
    </w:p>
    <w:p w14:paraId="10E87914">
      <w:pPr>
        <w:spacing w:before="156" w:after="156"/>
        <w:ind w:firstLine="482"/>
        <w:rPr>
          <w:rFonts w:cs="Times New Roman"/>
          <w:bCs/>
        </w:rPr>
      </w:pPr>
      <w:r>
        <w:rPr>
          <w:rFonts w:cs="Times New Roman"/>
          <w:b/>
        </w:rPr>
        <w:t>2</w:t>
      </w:r>
      <w:r>
        <w:rPr>
          <w:rFonts w:cs="Times New Roman"/>
          <w:bCs/>
        </w:rPr>
        <w:t xml:space="preserve">  </w:t>
      </w:r>
      <w:r>
        <w:rPr>
          <w:rFonts w:hint="eastAsia" w:cs="Times New Roman"/>
          <w:bCs/>
        </w:rPr>
        <w:t>电子文件形成单位应建立电子文件归档管理制度，规范电子文件编制、审核和审批流程，明确电子文件和电子档案管理职责。</w:t>
      </w:r>
    </w:p>
    <w:p w14:paraId="1B6720F8">
      <w:pPr>
        <w:spacing w:before="156" w:after="156"/>
        <w:ind w:firstLine="482"/>
        <w:rPr>
          <w:rFonts w:hint="eastAsia" w:eastAsia="宋体" w:cs="Times New Roman"/>
          <w:bCs/>
          <w:lang w:eastAsia="zh-CN"/>
        </w:rPr>
      </w:pPr>
      <w:r>
        <w:rPr>
          <w:rFonts w:hint="eastAsia" w:cs="Times New Roman"/>
          <w:b/>
          <w:lang w:val="en-US" w:eastAsia="zh-CN"/>
        </w:rPr>
        <w:t>3</w:t>
      </w:r>
      <w:r>
        <w:rPr>
          <w:rFonts w:cs="Times New Roman"/>
          <w:bCs/>
        </w:rPr>
        <w:t xml:space="preserve">  电子文件的内容必须真实，准确，完整，且与相应的纸质文件、声像档案内容一一对应，文本文件在条件允许的情况下可接收前置审批系统形成的原生电子文件，表格文件可接收工程资料编制软件直接形成的电子表格转换后的原生PDF文件</w:t>
      </w:r>
      <w:r>
        <w:rPr>
          <w:rFonts w:hint="eastAsia" w:cs="Times New Roman"/>
          <w:bCs/>
          <w:lang w:eastAsia="zh-CN"/>
        </w:rPr>
        <w:t>。</w:t>
      </w:r>
    </w:p>
    <w:p w14:paraId="28D1C254">
      <w:pPr>
        <w:spacing w:before="156" w:after="156"/>
        <w:ind w:firstLine="482"/>
        <w:rPr>
          <w:rFonts w:cs="Times New Roman"/>
        </w:rPr>
      </w:pPr>
      <w:r>
        <w:rPr>
          <w:rFonts w:hint="eastAsia" w:cs="Times New Roman"/>
          <w:b/>
          <w:lang w:val="en-US" w:eastAsia="zh-CN"/>
        </w:rPr>
        <w:t>4</w:t>
      </w:r>
      <w:r>
        <w:rPr>
          <w:rFonts w:cs="Times New Roman"/>
          <w:bCs/>
        </w:rPr>
        <w:t xml:space="preserve">  电子文件分辨率、幅面、文件大小、文字、清晰度、规整度以及</w:t>
      </w:r>
      <w:r>
        <w:rPr>
          <w:rFonts w:cs="Times New Roman"/>
          <w:bCs/>
          <w:color w:val="000000" w:themeColor="text1"/>
          <w14:textFill>
            <w14:solidFill>
              <w14:schemeClr w14:val="tx1"/>
            </w14:solidFill>
          </w14:textFill>
        </w:rPr>
        <w:t>签章</w:t>
      </w:r>
      <w:r>
        <w:rPr>
          <w:rFonts w:cs="Times New Roman"/>
          <w:bCs/>
        </w:rPr>
        <w:t>等应满足《青岛市建设工程档案编制指南》的</w:t>
      </w:r>
      <w:r>
        <w:rPr>
          <w:rFonts w:cs="Times New Roman"/>
          <w:bCs/>
          <w:lang w:val="zh-CN"/>
        </w:rPr>
        <w:t>要求。</w:t>
      </w:r>
    </w:p>
    <w:p w14:paraId="1218DC0C">
      <w:pPr>
        <w:spacing w:before="156" w:after="156"/>
        <w:ind w:firstLine="0" w:firstLineChars="0"/>
        <w:rPr>
          <w:rFonts w:cs="Times New Roman"/>
          <w:u w:val="single"/>
        </w:rPr>
      </w:pPr>
      <w:r>
        <w:rPr>
          <w:rFonts w:cs="Times New Roman"/>
          <w:b/>
        </w:rPr>
        <w:t xml:space="preserve">5.2.3  </w:t>
      </w:r>
      <w:r>
        <w:rPr>
          <w:rFonts w:cs="Times New Roman"/>
        </w:rPr>
        <w:t>归档要求</w:t>
      </w:r>
    </w:p>
    <w:p w14:paraId="5EBE6F6E">
      <w:pPr>
        <w:spacing w:before="156" w:after="156"/>
        <w:ind w:firstLine="482"/>
        <w:rPr>
          <w:rFonts w:hint="eastAsia" w:eastAsia="宋体" w:cs="Times New Roman"/>
          <w:lang w:eastAsia="zh-CN"/>
        </w:rPr>
      </w:pPr>
      <w:r>
        <w:rPr>
          <w:rFonts w:cs="Times New Roman"/>
          <w:b/>
          <w:bCs/>
        </w:rPr>
        <w:t>1</w:t>
      </w:r>
      <w:r>
        <w:rPr>
          <w:rFonts w:cs="Times New Roman"/>
        </w:rPr>
        <w:t xml:space="preserve">  建设单位应对资料内容的真实性、准确性、完整性、有效性负责</w:t>
      </w:r>
      <w:r>
        <w:rPr>
          <w:rFonts w:hint="eastAsia" w:cs="Times New Roman"/>
          <w:lang w:eastAsia="zh-CN"/>
        </w:rPr>
        <w:t>。</w:t>
      </w:r>
    </w:p>
    <w:p w14:paraId="4AC5BC35">
      <w:pPr>
        <w:widowControl/>
        <w:spacing w:before="156" w:after="156"/>
        <w:ind w:firstLine="482"/>
        <w:jc w:val="left"/>
        <w:rPr>
          <w:rFonts w:hint="eastAsia" w:eastAsia="宋体" w:cs="Times New Roman"/>
          <w:lang w:eastAsia="zh-CN"/>
        </w:rPr>
      </w:pPr>
      <w:r>
        <w:rPr>
          <w:rFonts w:cs="Times New Roman"/>
          <w:b/>
          <w:bCs/>
        </w:rPr>
        <w:t>2</w:t>
      </w:r>
      <w:r>
        <w:rPr>
          <w:rFonts w:cs="Times New Roman"/>
        </w:rPr>
        <w:t xml:space="preserve">  归档资料应为电子文件，以电子数据</w:t>
      </w:r>
      <w:r>
        <w:rPr>
          <w:rFonts w:hint="eastAsia" w:cs="Times New Roman"/>
        </w:rPr>
        <w:t>（</w:t>
      </w:r>
      <w:r>
        <w:rPr>
          <w:rFonts w:cs="Times New Roman"/>
        </w:rPr>
        <w:t>其中BIM模型格式为.</w:t>
      </w:r>
      <w:r>
        <w:rPr>
          <w:rFonts w:hint="eastAsia" w:cs="Times New Roman"/>
        </w:rPr>
        <w:t>rvt</w:t>
      </w:r>
      <w:r>
        <w:rPr>
          <w:rFonts w:cs="Times New Roman"/>
        </w:rPr>
        <w:t>、.</w:t>
      </w:r>
      <w:r>
        <w:rPr>
          <w:rFonts w:hint="eastAsia" w:cs="Times New Roman"/>
        </w:rPr>
        <w:t>fbx</w:t>
      </w:r>
      <w:r>
        <w:rPr>
          <w:rFonts w:cs="Times New Roman"/>
        </w:rPr>
        <w:t>、.</w:t>
      </w:r>
      <w:r>
        <w:rPr>
          <w:rFonts w:hint="eastAsia" w:cs="Times New Roman"/>
        </w:rPr>
        <w:t>ifc</w:t>
      </w:r>
      <w:r>
        <w:rPr>
          <w:rFonts w:cs="Times New Roman"/>
          <w:color w:val="000000"/>
          <w:kern w:val="0"/>
          <w:szCs w:val="24"/>
          <w:lang w:bidi="ar"/>
        </w:rPr>
        <w:t>.</w:t>
      </w:r>
      <w:r>
        <w:rPr>
          <w:rFonts w:hint="eastAsia" w:cs="Times New Roman"/>
          <w:color w:val="000000"/>
          <w:kern w:val="0"/>
          <w:szCs w:val="24"/>
          <w:lang w:bidi="ar"/>
        </w:rPr>
        <w:t>、.dgn、.gmc、.max、</w:t>
      </w:r>
      <w:r>
        <w:rPr>
          <w:rFonts w:cs="Times New Roman"/>
          <w:color w:val="000000"/>
          <w:kern w:val="0"/>
          <w:szCs w:val="24"/>
          <w:lang w:bidi="ar"/>
        </w:rPr>
        <w:t>.</w:t>
      </w:r>
      <w:r>
        <w:rPr>
          <w:rFonts w:hint="eastAsia" w:cs="Times New Roman"/>
          <w:color w:val="000000"/>
          <w:kern w:val="0"/>
          <w:szCs w:val="24"/>
          <w:lang w:bidi="ar"/>
        </w:rPr>
        <w:t>obj格式</w:t>
      </w:r>
      <w:r>
        <w:rPr>
          <w:rFonts w:hint="eastAsia" w:ascii="宋体" w:hAnsi="宋体" w:cs="宋体"/>
          <w:color w:val="000000"/>
          <w:kern w:val="0"/>
          <w:szCs w:val="24"/>
          <w:lang w:bidi="ar"/>
        </w:rPr>
        <w:t>等</w:t>
      </w:r>
      <w:r>
        <w:rPr>
          <w:rFonts w:cs="Times New Roman"/>
        </w:rPr>
        <w:t>，视频文件格式为.avi、.mp</w:t>
      </w:r>
      <w:r>
        <w:rPr>
          <w:rFonts w:hint="eastAsia" w:cs="Times New Roman"/>
        </w:rPr>
        <w:t>4</w:t>
      </w:r>
      <w:r>
        <w:rPr>
          <w:rFonts w:cs="Times New Roman"/>
        </w:rPr>
        <w:t>、.m</w:t>
      </w:r>
      <w:r>
        <w:rPr>
          <w:rFonts w:hint="eastAsia" w:cs="Times New Roman"/>
        </w:rPr>
        <w:t>ov格式等，</w:t>
      </w:r>
      <w:r>
        <w:rPr>
          <w:rFonts w:cs="Times New Roman"/>
        </w:rPr>
        <w:t>图纸格式为.dwg</w:t>
      </w:r>
      <w:r>
        <w:rPr>
          <w:rFonts w:hint="eastAsia" w:cs="Times New Roman"/>
        </w:rPr>
        <w:t>，</w:t>
      </w:r>
      <w:r>
        <w:rPr>
          <w:rFonts w:cs="Times New Roman"/>
        </w:rPr>
        <w:t>模型使用说明书和自检报告为.</w:t>
      </w:r>
      <w:r>
        <w:rPr>
          <w:rFonts w:hint="eastAsia" w:cs="Times New Roman"/>
        </w:rPr>
        <w:t>pdf</w:t>
      </w:r>
      <w:r>
        <w:rPr>
          <w:rFonts w:cs="Times New Roman"/>
        </w:rPr>
        <w:t>、</w:t>
      </w:r>
      <w:r>
        <w:rPr>
          <w:rFonts w:hint="eastAsia" w:cs="Times New Roman"/>
        </w:rPr>
        <w:t>jpeg</w:t>
      </w:r>
      <w:r>
        <w:rPr>
          <w:rFonts w:cs="Times New Roman"/>
        </w:rPr>
        <w:t>格式</w:t>
      </w:r>
      <w:r>
        <w:rPr>
          <w:rFonts w:hint="eastAsia" w:cs="Times New Roman"/>
        </w:rPr>
        <w:t>等）</w:t>
      </w:r>
      <w:r>
        <w:rPr>
          <w:rFonts w:cs="Times New Roman"/>
        </w:rPr>
        <w:t>形式交付，其文字、图表、印章应清晰可读</w:t>
      </w:r>
      <w:r>
        <w:rPr>
          <w:rFonts w:hint="eastAsia" w:cs="Times New Roman"/>
          <w:lang w:eastAsia="zh-CN"/>
        </w:rPr>
        <w:t>。</w:t>
      </w:r>
    </w:p>
    <w:p w14:paraId="1ED210A7">
      <w:pPr>
        <w:spacing w:before="156" w:after="156"/>
        <w:ind w:firstLine="482"/>
        <w:rPr>
          <w:rFonts w:cs="Times New Roman"/>
          <w:b/>
          <w:bCs/>
        </w:rPr>
      </w:pPr>
      <w:r>
        <w:rPr>
          <w:rFonts w:cs="Times New Roman"/>
          <w:b/>
          <w:bCs/>
        </w:rPr>
        <w:t xml:space="preserve">3  </w:t>
      </w:r>
      <w:r>
        <w:rPr>
          <w:rFonts w:cs="Times New Roman"/>
        </w:rPr>
        <w:t>归档文件</w:t>
      </w:r>
      <w:r>
        <w:rPr>
          <w:rFonts w:cs="Times New Roman"/>
          <w:bCs/>
          <w:lang w:val="zh-CN"/>
        </w:rPr>
        <w:t>必须</w:t>
      </w:r>
      <w:r>
        <w:rPr>
          <w:rFonts w:cs="Times New Roman"/>
          <w:bCs/>
        </w:rPr>
        <w:t>保证其</w:t>
      </w:r>
      <w:r>
        <w:rPr>
          <w:rFonts w:cs="Times New Roman"/>
          <w:bCs/>
          <w:lang w:val="zh-CN"/>
        </w:rPr>
        <w:t>真实</w:t>
      </w:r>
      <w:r>
        <w:rPr>
          <w:rFonts w:cs="Times New Roman"/>
          <w:bCs/>
        </w:rPr>
        <w:t>性和</w:t>
      </w:r>
      <w:r>
        <w:rPr>
          <w:rFonts w:cs="Times New Roman"/>
          <w:bCs/>
          <w:lang w:val="zh-CN"/>
        </w:rPr>
        <w:t>准确</w:t>
      </w:r>
      <w:r>
        <w:rPr>
          <w:rFonts w:cs="Times New Roman"/>
          <w:bCs/>
        </w:rPr>
        <w:t>性</w:t>
      </w:r>
      <w:r>
        <w:rPr>
          <w:rFonts w:cs="Times New Roman"/>
          <w:bCs/>
          <w:lang w:val="zh-CN"/>
        </w:rPr>
        <w:t>，</w:t>
      </w:r>
      <w:r>
        <w:rPr>
          <w:rFonts w:cs="Times New Roman"/>
          <w:bCs/>
        </w:rPr>
        <w:t>归档时应附有相关责任单位签章。</w:t>
      </w:r>
    </w:p>
    <w:p w14:paraId="7BD59082">
      <w:pPr>
        <w:pStyle w:val="3"/>
        <w:spacing w:before="156" w:after="156"/>
        <w:ind w:firstLine="0" w:firstLineChars="0"/>
        <w:rPr>
          <w:rFonts w:cs="Times New Roman"/>
        </w:rPr>
      </w:pPr>
      <w:bookmarkStart w:id="41" w:name="_Toc23144"/>
      <w:bookmarkStart w:id="42" w:name="_Toc3975"/>
      <w:r>
        <w:rPr>
          <w:rFonts w:cs="Times New Roman"/>
        </w:rPr>
        <w:t xml:space="preserve">5.3  </w:t>
      </w:r>
      <w:r>
        <w:rPr>
          <w:rFonts w:cs="Times New Roman"/>
          <w:b w:val="0"/>
          <w:bCs w:val="0"/>
        </w:rPr>
        <w:t>模型</w:t>
      </w:r>
      <w:r>
        <w:rPr>
          <w:rFonts w:hint="eastAsia" w:cs="Times New Roman"/>
          <w:b w:val="0"/>
          <w:bCs w:val="0"/>
          <w:lang w:val="en-US" w:eastAsia="zh-CN"/>
        </w:rPr>
        <w:t>文件</w:t>
      </w:r>
      <w:r>
        <w:rPr>
          <w:rFonts w:cs="Times New Roman"/>
          <w:b w:val="0"/>
          <w:bCs w:val="0"/>
        </w:rPr>
        <w:t>规定</w:t>
      </w:r>
      <w:bookmarkEnd w:id="41"/>
      <w:bookmarkEnd w:id="42"/>
    </w:p>
    <w:p w14:paraId="4B15D41F">
      <w:pPr>
        <w:spacing w:before="156" w:after="156"/>
        <w:ind w:firstLine="0" w:firstLineChars="0"/>
        <w:rPr>
          <w:rFonts w:cs="Times New Roman"/>
        </w:rPr>
      </w:pPr>
      <w:r>
        <w:rPr>
          <w:rFonts w:cs="Times New Roman"/>
          <w:b/>
        </w:rPr>
        <w:t xml:space="preserve">5.3.1  </w:t>
      </w:r>
      <w:r>
        <w:rPr>
          <w:rFonts w:cs="Times New Roman"/>
        </w:rPr>
        <w:t>基本规定</w:t>
      </w:r>
    </w:p>
    <w:p w14:paraId="1F777DB5">
      <w:pPr>
        <w:spacing w:before="156" w:after="156"/>
        <w:ind w:firstLine="482"/>
        <w:rPr>
          <w:rFonts w:cs="Times New Roman"/>
          <w:bCs/>
          <w:lang w:val="zh-CN"/>
        </w:rPr>
      </w:pPr>
      <w:r>
        <w:rPr>
          <w:rFonts w:cs="Times New Roman"/>
          <w:b/>
        </w:rPr>
        <w:t xml:space="preserve">1 </w:t>
      </w:r>
      <w:r>
        <w:rPr>
          <w:rFonts w:cs="Times New Roman"/>
          <w:bCs/>
        </w:rPr>
        <w:t xml:space="preserve"> </w:t>
      </w:r>
      <w:r>
        <w:rPr>
          <w:rFonts w:cs="Times New Roman"/>
          <w:bCs/>
          <w:lang w:val="zh-CN"/>
        </w:rPr>
        <w:t>建设工程电子档案著录</w:t>
      </w:r>
      <w:r>
        <w:rPr>
          <w:rFonts w:cs="Times New Roman"/>
          <w:bCs/>
        </w:rPr>
        <w:t>及</w:t>
      </w:r>
      <w:r>
        <w:rPr>
          <w:rFonts w:cs="Times New Roman"/>
          <w:bCs/>
          <w:lang w:val="zh-CN"/>
        </w:rPr>
        <w:t>著录数据应</w:t>
      </w:r>
      <w:r>
        <w:rPr>
          <w:rFonts w:cs="Times New Roman"/>
          <w:bCs/>
        </w:rPr>
        <w:t>满足</w:t>
      </w:r>
      <w:r>
        <w:rPr>
          <w:rFonts w:hint="eastAsia" w:cs="Times New Roman"/>
          <w:bCs/>
        </w:rPr>
        <w:t>相关著录规范、标准</w:t>
      </w:r>
      <w:r>
        <w:rPr>
          <w:rFonts w:cs="Times New Roman"/>
          <w:bCs/>
        </w:rPr>
        <w:t>的</w:t>
      </w:r>
      <w:r>
        <w:rPr>
          <w:rFonts w:cs="Times New Roman"/>
          <w:bCs/>
          <w:lang w:val="zh-CN"/>
        </w:rPr>
        <w:t>要求</w:t>
      </w:r>
      <w:r>
        <w:rPr>
          <w:rFonts w:hint="eastAsia" w:cs="Times New Roman"/>
          <w:bCs/>
          <w:lang w:val="zh-CN"/>
        </w:rPr>
        <w:t>。</w:t>
      </w:r>
    </w:p>
    <w:p w14:paraId="461E576E">
      <w:pPr>
        <w:spacing w:before="156" w:after="156"/>
        <w:ind w:firstLine="482"/>
        <w:rPr>
          <w:rFonts w:cs="Times New Roman"/>
          <w:bCs/>
          <w:lang w:val="zh-CN"/>
        </w:rPr>
      </w:pPr>
      <w:r>
        <w:rPr>
          <w:rFonts w:cs="Times New Roman"/>
          <w:b/>
        </w:rPr>
        <w:t>2</w:t>
      </w:r>
      <w:r>
        <w:rPr>
          <w:rFonts w:cs="Times New Roman"/>
          <w:bCs/>
          <w:lang w:val="zh-CN"/>
        </w:rPr>
        <w:t xml:space="preserve">  归档交付的BIM模型宜根据工程特点和实际需求按单体及专业进行分别提交。</w:t>
      </w:r>
    </w:p>
    <w:p w14:paraId="150CE62A">
      <w:pPr>
        <w:spacing w:before="156" w:after="156"/>
        <w:ind w:firstLine="0" w:firstLineChars="0"/>
        <w:rPr>
          <w:rFonts w:cs="Times New Roman"/>
        </w:rPr>
      </w:pPr>
      <w:r>
        <w:rPr>
          <w:rFonts w:cs="Times New Roman"/>
          <w:b/>
        </w:rPr>
        <w:t xml:space="preserve">5.3.2  </w:t>
      </w:r>
      <w:r>
        <w:rPr>
          <w:rFonts w:cs="Times New Roman"/>
        </w:rPr>
        <w:t>交付要求</w:t>
      </w:r>
    </w:p>
    <w:p w14:paraId="2AE68C83">
      <w:pPr>
        <w:spacing w:before="156" w:after="156"/>
        <w:ind w:firstLine="482"/>
        <w:rPr>
          <w:rFonts w:hint="eastAsia" w:eastAsia="宋体" w:cs="Times New Roman"/>
          <w:lang w:eastAsia="zh-CN"/>
        </w:rPr>
      </w:pPr>
      <w:r>
        <w:rPr>
          <w:rFonts w:cs="Times New Roman"/>
          <w:b/>
          <w:bCs/>
        </w:rPr>
        <w:t>1</w:t>
      </w:r>
      <w:r>
        <w:rPr>
          <w:rFonts w:cs="Times New Roman"/>
        </w:rPr>
        <w:t xml:space="preserve">  在模型交付前，应对其进行内部审核，并提交相应检查报告</w:t>
      </w:r>
      <w:r>
        <w:rPr>
          <w:rFonts w:hint="eastAsia" w:cs="Times New Roman"/>
          <w:lang w:eastAsia="zh-CN"/>
        </w:rPr>
        <w:t>。</w:t>
      </w:r>
    </w:p>
    <w:p w14:paraId="69A93A5B">
      <w:pPr>
        <w:spacing w:before="156" w:after="156"/>
        <w:ind w:firstLine="482"/>
        <w:rPr>
          <w:rFonts w:hint="eastAsia" w:eastAsia="宋体" w:cs="Times New Roman"/>
          <w:lang w:eastAsia="zh-CN"/>
        </w:rPr>
      </w:pPr>
      <w:r>
        <w:rPr>
          <w:rFonts w:cs="Times New Roman"/>
          <w:b/>
          <w:bCs/>
        </w:rPr>
        <w:t xml:space="preserve">2  </w:t>
      </w:r>
      <w:r>
        <w:rPr>
          <w:rFonts w:cs="Times New Roman"/>
        </w:rPr>
        <w:t>模型检查报告</w:t>
      </w:r>
      <w:r>
        <w:rPr>
          <w:rFonts w:hint="eastAsia" w:cs="Times New Roman"/>
        </w:rPr>
        <w:t>宜</w:t>
      </w:r>
      <w:r>
        <w:rPr>
          <w:rFonts w:cs="Times New Roman"/>
        </w:rPr>
        <w:t>包含几何精度检查、属性数据完整性和准确性检查、图形和属性数据一致性检查、完整性检查等内容</w:t>
      </w:r>
      <w:r>
        <w:rPr>
          <w:rFonts w:hint="eastAsia" w:cs="Times New Roman"/>
          <w:lang w:eastAsia="zh-CN"/>
        </w:rPr>
        <w:t>。</w:t>
      </w:r>
    </w:p>
    <w:p w14:paraId="1C309AD0">
      <w:pPr>
        <w:spacing w:before="156" w:after="156"/>
        <w:ind w:firstLine="482"/>
        <w:rPr>
          <w:rFonts w:cs="Times New Roman"/>
        </w:rPr>
      </w:pPr>
      <w:r>
        <w:rPr>
          <w:rFonts w:hint="eastAsia" w:cs="Times New Roman"/>
          <w:b/>
          <w:bCs/>
        </w:rPr>
        <w:t>3</w:t>
      </w:r>
      <w:r>
        <w:rPr>
          <w:rFonts w:cs="Times New Roman"/>
          <w:b/>
          <w:bCs/>
        </w:rPr>
        <w:t xml:space="preserve">  </w:t>
      </w:r>
      <w:r>
        <w:rPr>
          <w:rFonts w:cs="Times New Roman"/>
        </w:rPr>
        <w:t>归档模型的模型单元属性信息，应满足档案管理需求，宜符合</w:t>
      </w:r>
      <w:r>
        <w:rPr>
          <w:rFonts w:hint="eastAsia" w:cs="Times New Roman"/>
        </w:rPr>
        <w:t>本导则</w:t>
      </w:r>
      <w:r>
        <w:rPr>
          <w:rFonts w:cs="Times New Roman"/>
        </w:rPr>
        <w:t>第6章的规定。</w:t>
      </w:r>
    </w:p>
    <w:p w14:paraId="0FAFEAAB">
      <w:pPr>
        <w:spacing w:before="156" w:after="156"/>
        <w:ind w:firstLine="482"/>
        <w:rPr>
          <w:rFonts w:hint="eastAsia" w:eastAsia="宋体" w:cs="Times New Roman"/>
          <w:lang w:eastAsia="zh-CN"/>
        </w:rPr>
      </w:pPr>
      <w:bookmarkStart w:id="43" w:name="4.2.12施工图设计模型宜提交模型使用说明文件。"/>
      <w:bookmarkEnd w:id="43"/>
      <w:r>
        <w:rPr>
          <w:rFonts w:hint="eastAsia" w:cs="Times New Roman"/>
          <w:b/>
          <w:bCs/>
        </w:rPr>
        <w:t>4</w:t>
      </w:r>
      <w:r>
        <w:rPr>
          <w:rFonts w:cs="Times New Roman"/>
          <w:b/>
          <w:bCs/>
        </w:rPr>
        <w:t xml:space="preserve">  </w:t>
      </w:r>
      <w:r>
        <w:rPr>
          <w:rFonts w:cs="Times New Roman"/>
        </w:rPr>
        <w:t>归档的模型应提交模型使用说明文件</w:t>
      </w:r>
      <w:bookmarkStart w:id="44" w:name="4.2.13模型使用说明文件应包含必要告知的相关信息和注意事项，宜符合表4.2."/>
      <w:bookmarkEnd w:id="44"/>
      <w:r>
        <w:rPr>
          <w:rFonts w:cs="Times New Roman"/>
        </w:rPr>
        <w:t>，模型使用说明文件应包含必要告知的相关信息和注意事项，宜符合表 5.3.2 的规定</w:t>
      </w:r>
      <w:r>
        <w:rPr>
          <w:rFonts w:hint="eastAsia" w:cs="Times New Roman"/>
          <w:lang w:eastAsia="zh-CN"/>
        </w:rPr>
        <w:t>。</w:t>
      </w:r>
    </w:p>
    <w:p w14:paraId="6ACA5213">
      <w:pPr>
        <w:autoSpaceDE w:val="0"/>
        <w:autoSpaceDN w:val="0"/>
        <w:spacing w:before="156" w:after="156"/>
        <w:ind w:firstLine="422"/>
        <w:jc w:val="center"/>
        <w:rPr>
          <w:rFonts w:cs="Times New Roman"/>
          <w:b/>
          <w:bCs/>
          <w:sz w:val="21"/>
          <w:szCs w:val="21"/>
        </w:rPr>
      </w:pPr>
      <w:r>
        <w:rPr>
          <w:rFonts w:cs="Times New Roman"/>
          <w:b/>
          <w:bCs/>
          <w:sz w:val="21"/>
          <w:szCs w:val="21"/>
        </w:rPr>
        <w:t>表5.3.2 模型使用说明内容</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2"/>
        <w:gridCol w:w="3121"/>
        <w:gridCol w:w="4380"/>
      </w:tblGrid>
      <w:tr w14:paraId="4656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trPr>
        <w:tc>
          <w:tcPr>
            <w:tcW w:w="488" w:type="pct"/>
            <w:vAlign w:val="center"/>
          </w:tcPr>
          <w:p w14:paraId="6EBB8654">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序号</w:t>
            </w:r>
          </w:p>
        </w:tc>
        <w:tc>
          <w:tcPr>
            <w:tcW w:w="1877" w:type="pct"/>
            <w:vAlign w:val="center"/>
          </w:tcPr>
          <w:p w14:paraId="2B1D463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项次</w:t>
            </w:r>
          </w:p>
        </w:tc>
        <w:tc>
          <w:tcPr>
            <w:tcW w:w="2634" w:type="pct"/>
            <w:vAlign w:val="center"/>
          </w:tcPr>
          <w:p w14:paraId="1D1B960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内容</w:t>
            </w:r>
          </w:p>
        </w:tc>
      </w:tr>
      <w:tr w14:paraId="6321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3" w:hRule="atLeast"/>
        </w:trPr>
        <w:tc>
          <w:tcPr>
            <w:tcW w:w="488" w:type="pct"/>
            <w:vMerge w:val="restart"/>
            <w:vAlign w:val="center"/>
          </w:tcPr>
          <w:p w14:paraId="7F54012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1</w:t>
            </w:r>
          </w:p>
        </w:tc>
        <w:tc>
          <w:tcPr>
            <w:tcW w:w="1877" w:type="pct"/>
            <w:vMerge w:val="restart"/>
            <w:vAlign w:val="center"/>
          </w:tcPr>
          <w:p w14:paraId="54BC9480">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项目基本信息</w:t>
            </w:r>
          </w:p>
        </w:tc>
        <w:tc>
          <w:tcPr>
            <w:tcW w:w="2634" w:type="pct"/>
            <w:vAlign w:val="center"/>
          </w:tcPr>
          <w:p w14:paraId="6199C4D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项目概况</w:t>
            </w:r>
          </w:p>
        </w:tc>
      </w:tr>
      <w:tr w14:paraId="5CFD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488" w:type="pct"/>
            <w:vMerge w:val="continue"/>
            <w:vAlign w:val="center"/>
          </w:tcPr>
          <w:p w14:paraId="17D9DB1E">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1BB7DD06">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77A701D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组织构成</w:t>
            </w:r>
          </w:p>
        </w:tc>
      </w:tr>
      <w:tr w14:paraId="1444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488" w:type="pct"/>
            <w:vMerge w:val="continue"/>
            <w:vAlign w:val="center"/>
          </w:tcPr>
          <w:p w14:paraId="12F69D73">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1A02FCFA">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7FAFBF22">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所使用软件基本说明</w:t>
            </w:r>
          </w:p>
        </w:tc>
      </w:tr>
      <w:tr w14:paraId="2FB2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488" w:type="pct"/>
            <w:vMerge w:val="continue"/>
            <w:vAlign w:val="center"/>
          </w:tcPr>
          <w:p w14:paraId="238999A5">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70D82302">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2EC3FC4A">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所使用软件版本</w:t>
            </w:r>
          </w:p>
        </w:tc>
      </w:tr>
      <w:tr w14:paraId="635C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trPr>
        <w:tc>
          <w:tcPr>
            <w:tcW w:w="488" w:type="pct"/>
            <w:vMerge w:val="restart"/>
            <w:vAlign w:val="center"/>
          </w:tcPr>
          <w:p w14:paraId="692907C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2</w:t>
            </w:r>
          </w:p>
        </w:tc>
        <w:tc>
          <w:tcPr>
            <w:tcW w:w="1877" w:type="pct"/>
            <w:vMerge w:val="restart"/>
            <w:vAlign w:val="center"/>
          </w:tcPr>
          <w:p w14:paraId="661BB474">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模型文件的组织方式</w:t>
            </w:r>
          </w:p>
        </w:tc>
        <w:tc>
          <w:tcPr>
            <w:tcW w:w="2634" w:type="pct"/>
            <w:vAlign w:val="center"/>
          </w:tcPr>
          <w:p w14:paraId="4FE6C691">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模型文件的架构关系</w:t>
            </w:r>
          </w:p>
        </w:tc>
      </w:tr>
      <w:tr w14:paraId="50AFD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488" w:type="pct"/>
            <w:vMerge w:val="continue"/>
            <w:vAlign w:val="center"/>
          </w:tcPr>
          <w:p w14:paraId="70F07DA3">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5510CBED">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006C2ABA">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模型文件的整体架构图</w:t>
            </w:r>
          </w:p>
        </w:tc>
      </w:tr>
      <w:tr w14:paraId="3368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trPr>
        <w:tc>
          <w:tcPr>
            <w:tcW w:w="488" w:type="pct"/>
            <w:vMerge w:val="continue"/>
            <w:vAlign w:val="center"/>
          </w:tcPr>
          <w:p w14:paraId="05C09133">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478EFD10">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538F16BE">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模型定位基点与标高</w:t>
            </w:r>
          </w:p>
        </w:tc>
      </w:tr>
      <w:tr w14:paraId="4BC8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488" w:type="pct"/>
            <w:vMerge w:val="restart"/>
            <w:vAlign w:val="center"/>
          </w:tcPr>
          <w:p w14:paraId="461AE720">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3</w:t>
            </w:r>
          </w:p>
        </w:tc>
        <w:tc>
          <w:tcPr>
            <w:tcW w:w="1877" w:type="pct"/>
            <w:vMerge w:val="restart"/>
            <w:vAlign w:val="center"/>
          </w:tcPr>
          <w:p w14:paraId="11219E67">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模型文件视图使用说明</w:t>
            </w:r>
          </w:p>
        </w:tc>
        <w:tc>
          <w:tcPr>
            <w:tcW w:w="2634" w:type="pct"/>
            <w:vAlign w:val="center"/>
          </w:tcPr>
          <w:p w14:paraId="51C69ED9">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各专业的审阅视图名称</w:t>
            </w:r>
          </w:p>
        </w:tc>
      </w:tr>
      <w:tr w14:paraId="6C645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trPr>
        <w:tc>
          <w:tcPr>
            <w:tcW w:w="488" w:type="pct"/>
            <w:vMerge w:val="continue"/>
            <w:vAlign w:val="center"/>
          </w:tcPr>
          <w:p w14:paraId="70394BA3">
            <w:pPr>
              <w:spacing w:before="156" w:after="156" w:line="240" w:lineRule="auto"/>
              <w:ind w:firstLine="0" w:firstLineChars="0"/>
              <w:jc w:val="center"/>
              <w:rPr>
                <w:rFonts w:hint="eastAsia" w:ascii="宋体" w:hAnsi="宋体" w:cs="宋体"/>
                <w:sz w:val="21"/>
                <w:szCs w:val="21"/>
              </w:rPr>
            </w:pPr>
          </w:p>
        </w:tc>
        <w:tc>
          <w:tcPr>
            <w:tcW w:w="1877" w:type="pct"/>
            <w:vMerge w:val="continue"/>
            <w:vAlign w:val="center"/>
          </w:tcPr>
          <w:p w14:paraId="61179B7B">
            <w:pPr>
              <w:spacing w:before="156" w:after="156" w:line="240" w:lineRule="auto"/>
              <w:ind w:firstLine="0" w:firstLineChars="0"/>
              <w:jc w:val="center"/>
              <w:rPr>
                <w:rFonts w:hint="eastAsia" w:ascii="宋体" w:hAnsi="宋体" w:cs="宋体"/>
                <w:sz w:val="21"/>
                <w:szCs w:val="21"/>
              </w:rPr>
            </w:pPr>
          </w:p>
        </w:tc>
        <w:tc>
          <w:tcPr>
            <w:tcW w:w="2634" w:type="pct"/>
            <w:vAlign w:val="center"/>
          </w:tcPr>
          <w:p w14:paraId="61B4B3D8">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各视图的用途</w:t>
            </w:r>
          </w:p>
        </w:tc>
      </w:tr>
      <w:tr w14:paraId="492B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488" w:type="pct"/>
            <w:vAlign w:val="center"/>
          </w:tcPr>
          <w:p w14:paraId="5F6FCDC1">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4</w:t>
            </w:r>
          </w:p>
        </w:tc>
        <w:tc>
          <w:tcPr>
            <w:tcW w:w="1877" w:type="pct"/>
            <w:vAlign w:val="center"/>
          </w:tcPr>
          <w:p w14:paraId="5F354DF0">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其他需要说明的事项</w:t>
            </w:r>
          </w:p>
        </w:tc>
        <w:tc>
          <w:tcPr>
            <w:tcW w:w="2634" w:type="pct"/>
            <w:vAlign w:val="center"/>
          </w:tcPr>
          <w:p w14:paraId="1AFBCE73">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根据项目需要补充</w:t>
            </w:r>
          </w:p>
        </w:tc>
      </w:tr>
      <w:tr w14:paraId="0826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488" w:type="pct"/>
            <w:vAlign w:val="center"/>
          </w:tcPr>
          <w:p w14:paraId="3220BEEC">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5</w:t>
            </w:r>
          </w:p>
        </w:tc>
        <w:tc>
          <w:tcPr>
            <w:tcW w:w="1877" w:type="pct"/>
            <w:vAlign w:val="center"/>
          </w:tcPr>
          <w:p w14:paraId="2D4921B4">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编码说明</w:t>
            </w:r>
          </w:p>
        </w:tc>
        <w:tc>
          <w:tcPr>
            <w:tcW w:w="2634" w:type="pct"/>
            <w:vAlign w:val="center"/>
          </w:tcPr>
          <w:p w14:paraId="699EB22E">
            <w:pPr>
              <w:spacing w:before="156" w:after="156" w:line="240" w:lineRule="auto"/>
              <w:ind w:firstLine="0" w:firstLineChars="0"/>
              <w:jc w:val="center"/>
              <w:rPr>
                <w:rFonts w:hint="eastAsia" w:ascii="宋体" w:hAnsi="宋体" w:cs="宋体"/>
                <w:sz w:val="21"/>
                <w:szCs w:val="21"/>
              </w:rPr>
            </w:pPr>
            <w:r>
              <w:rPr>
                <w:rFonts w:hint="eastAsia" w:ascii="宋体" w:hAnsi="宋体" w:cs="宋体"/>
                <w:sz w:val="21"/>
                <w:szCs w:val="21"/>
              </w:rPr>
              <w:t>根据实际情况补充</w:t>
            </w:r>
          </w:p>
        </w:tc>
      </w:tr>
    </w:tbl>
    <w:p w14:paraId="49FABC0B">
      <w:pPr>
        <w:spacing w:before="156" w:after="156"/>
        <w:ind w:firstLine="482"/>
        <w:rPr>
          <w:rFonts w:cs="Times New Roman"/>
        </w:rPr>
      </w:pPr>
      <w:r>
        <w:rPr>
          <w:rFonts w:hint="eastAsia" w:cs="Times New Roman"/>
          <w:b/>
          <w:bCs/>
          <w:lang w:val="en-US" w:eastAsia="zh-CN"/>
        </w:rPr>
        <w:t>5</w:t>
      </w:r>
      <w:r>
        <w:rPr>
          <w:rFonts w:cs="Times New Roman"/>
          <w:b/>
          <w:bCs/>
        </w:rPr>
        <w:t xml:space="preserve">  </w:t>
      </w:r>
      <w:r>
        <w:rPr>
          <w:rFonts w:cs="Times New Roman"/>
        </w:rPr>
        <w:t>归档模型及数据</w:t>
      </w:r>
      <w:r>
        <w:rPr>
          <w:rFonts w:cs="Times New Roman"/>
          <w:bCs/>
          <w:lang w:val="zh-CN"/>
        </w:rPr>
        <w:t>必须</w:t>
      </w:r>
      <w:r>
        <w:rPr>
          <w:rFonts w:cs="Times New Roman"/>
          <w:bCs/>
        </w:rPr>
        <w:t>保证其</w:t>
      </w:r>
      <w:r>
        <w:rPr>
          <w:rFonts w:cs="Times New Roman"/>
          <w:bCs/>
          <w:lang w:val="zh-CN"/>
        </w:rPr>
        <w:t>真实</w:t>
      </w:r>
      <w:r>
        <w:rPr>
          <w:rFonts w:cs="Times New Roman"/>
          <w:bCs/>
        </w:rPr>
        <w:t>性和</w:t>
      </w:r>
      <w:r>
        <w:rPr>
          <w:rFonts w:cs="Times New Roman"/>
          <w:bCs/>
          <w:lang w:val="zh-CN"/>
        </w:rPr>
        <w:t>准确</w:t>
      </w:r>
      <w:r>
        <w:rPr>
          <w:rFonts w:cs="Times New Roman"/>
          <w:bCs/>
        </w:rPr>
        <w:t>性</w:t>
      </w:r>
      <w:r>
        <w:rPr>
          <w:rFonts w:cs="Times New Roman"/>
          <w:bCs/>
          <w:lang w:val="zh-CN"/>
        </w:rPr>
        <w:t>，</w:t>
      </w:r>
      <w:r>
        <w:rPr>
          <w:rFonts w:cs="Times New Roman"/>
          <w:bCs/>
        </w:rPr>
        <w:t>归档时应附有相关责任单位签章。</w:t>
      </w:r>
    </w:p>
    <w:p w14:paraId="330CC372">
      <w:pPr>
        <w:spacing w:before="156" w:after="156"/>
        <w:ind w:firstLine="0" w:firstLineChars="0"/>
        <w:rPr>
          <w:rFonts w:cs="Times New Roman"/>
        </w:rPr>
      </w:pPr>
      <w:r>
        <w:rPr>
          <w:rFonts w:cs="Times New Roman"/>
          <w:b/>
        </w:rPr>
        <w:t xml:space="preserve">5.3.3  </w:t>
      </w:r>
      <w:r>
        <w:rPr>
          <w:rFonts w:cs="Times New Roman"/>
        </w:rPr>
        <w:t>归档要求</w:t>
      </w:r>
    </w:p>
    <w:p w14:paraId="0BB2B0E7">
      <w:pPr>
        <w:spacing w:before="156" w:after="156"/>
        <w:ind w:firstLine="482"/>
        <w:rPr>
          <w:rFonts w:hint="eastAsia" w:eastAsia="宋体" w:cs="Times New Roman"/>
          <w:lang w:eastAsia="zh-CN"/>
        </w:rPr>
      </w:pPr>
      <w:r>
        <w:rPr>
          <w:rFonts w:cs="Times New Roman"/>
          <w:b/>
          <w:bCs/>
        </w:rPr>
        <w:t>1</w:t>
      </w:r>
      <w:r>
        <w:rPr>
          <w:rFonts w:cs="Times New Roman"/>
        </w:rPr>
        <w:t xml:space="preserve">  归档模型应以源格式进行交付，当源格式不能满足青岛市建设项目全过程BIM监管平台要求时，应补交符合</w:t>
      </w:r>
      <w:r>
        <w:rPr>
          <w:rFonts w:hint="eastAsia" w:cs="Times New Roman"/>
          <w:lang w:val="en-US" w:eastAsia="zh-CN"/>
        </w:rPr>
        <w:t>该</w:t>
      </w:r>
      <w:r>
        <w:rPr>
          <w:rFonts w:cs="Times New Roman"/>
        </w:rPr>
        <w:t>平台要求的交换格式</w:t>
      </w:r>
      <w:r>
        <w:rPr>
          <w:rFonts w:hint="eastAsia" w:cs="Times New Roman"/>
          <w:lang w:eastAsia="zh-CN"/>
        </w:rPr>
        <w:t>。</w:t>
      </w:r>
    </w:p>
    <w:p w14:paraId="61394224">
      <w:pPr>
        <w:spacing w:before="156" w:after="156"/>
        <w:ind w:firstLine="482"/>
        <w:rPr>
          <w:rFonts w:hint="eastAsia" w:eastAsia="宋体" w:cs="Times New Roman"/>
          <w:lang w:eastAsia="zh-CN"/>
        </w:rPr>
      </w:pPr>
      <w:r>
        <w:rPr>
          <w:rFonts w:cs="Times New Roman"/>
          <w:b/>
          <w:bCs/>
        </w:rPr>
        <w:t xml:space="preserve">2  </w:t>
      </w:r>
      <w:r>
        <w:rPr>
          <w:rFonts w:cs="Times New Roman"/>
        </w:rPr>
        <w:t>模型文件的三维视图需为默认三维视图，应删除多余三维视图，交付物应完成自检后上传至青岛市建设项目全过程BIM监管平台中城建档案模块，并进行轻量化转换</w:t>
      </w:r>
      <w:r>
        <w:rPr>
          <w:rFonts w:hint="eastAsia" w:cs="Times New Roman"/>
          <w:lang w:eastAsia="zh-CN"/>
        </w:rPr>
        <w:t>。</w:t>
      </w:r>
    </w:p>
    <w:p w14:paraId="6CAB5011">
      <w:pPr>
        <w:spacing w:before="156" w:after="156"/>
        <w:ind w:firstLine="482"/>
        <w:rPr>
          <w:rFonts w:hint="eastAsia" w:eastAsia="宋体" w:cs="Times New Roman"/>
          <w:lang w:eastAsia="zh-CN"/>
        </w:rPr>
      </w:pPr>
      <w:r>
        <w:rPr>
          <w:rFonts w:cs="Times New Roman"/>
          <w:b/>
          <w:bCs/>
        </w:rPr>
        <w:t xml:space="preserve">3  </w:t>
      </w:r>
      <w:r>
        <w:rPr>
          <w:rFonts w:cs="Times New Roman"/>
        </w:rPr>
        <w:t>模型文件应统一项目的坐标、方向、轴网及楼层设置，模型互相链接后应可以整合成完整的项目模型</w:t>
      </w:r>
      <w:r>
        <w:rPr>
          <w:rFonts w:hint="eastAsia" w:cs="Times New Roman"/>
          <w:lang w:eastAsia="zh-CN"/>
        </w:rPr>
        <w:t>。</w:t>
      </w:r>
    </w:p>
    <w:p w14:paraId="032B9916">
      <w:pPr>
        <w:spacing w:before="156" w:after="156"/>
        <w:ind w:firstLine="482"/>
        <w:rPr>
          <w:rFonts w:cs="Times New Roman"/>
        </w:rPr>
      </w:pPr>
      <w:r>
        <w:rPr>
          <w:rFonts w:cs="Times New Roman"/>
          <w:b/>
          <w:bCs/>
        </w:rPr>
        <w:t xml:space="preserve">4  </w:t>
      </w:r>
      <w:r>
        <w:rPr>
          <w:rFonts w:cs="Times New Roman"/>
        </w:rPr>
        <w:t>模型上传至青岛市建设项目全过程BIM监管平台中城建档案模块时，应输入链接关系完整的模型中轴线交点信息，应</w:t>
      </w:r>
      <w:r>
        <w:rPr>
          <w:rFonts w:hint="eastAsia" w:cs="Times New Roman"/>
          <w:lang w:eastAsia="zh-CN"/>
        </w:rPr>
        <w:t>包括</w:t>
      </w:r>
      <w:r>
        <w:rPr>
          <w:rFonts w:cs="Times New Roman"/>
        </w:rPr>
        <w:t>点坐标 X 值（m）、点坐标 Y 值（m）、项目高程（m）、图纸纵坐标与指北针的顺时针角度（°）4 个信息。</w:t>
      </w:r>
    </w:p>
    <w:p w14:paraId="3A9C8CAD">
      <w:pPr>
        <w:pStyle w:val="3"/>
        <w:spacing w:before="156" w:after="156"/>
        <w:ind w:firstLine="0" w:firstLineChars="0"/>
        <w:rPr>
          <w:rFonts w:cs="Times New Roman"/>
        </w:rPr>
      </w:pPr>
      <w:bookmarkStart w:id="45" w:name="_Toc7717"/>
      <w:bookmarkStart w:id="46" w:name="_Toc9453"/>
      <w:r>
        <w:rPr>
          <w:rFonts w:cs="Times New Roman"/>
        </w:rPr>
        <w:t xml:space="preserve">5.4  </w:t>
      </w:r>
      <w:r>
        <w:rPr>
          <w:rFonts w:cs="Times New Roman"/>
          <w:b w:val="0"/>
          <w:bCs w:val="0"/>
        </w:rPr>
        <w:t>共享与安全</w:t>
      </w:r>
      <w:bookmarkEnd w:id="45"/>
      <w:bookmarkEnd w:id="46"/>
    </w:p>
    <w:p w14:paraId="22CD9EB8">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1  </w:t>
      </w:r>
      <w:r>
        <w:rPr>
          <w:rFonts w:cs="Times New Roman"/>
        </w:rPr>
        <w:t>应实现模型</w:t>
      </w:r>
      <w:r>
        <w:rPr>
          <w:rFonts w:hint="eastAsia" w:cs="Times New Roman"/>
          <w:lang w:val="en-US" w:eastAsia="zh-CN"/>
        </w:rPr>
        <w:t>信息</w:t>
      </w:r>
      <w:r>
        <w:rPr>
          <w:rFonts w:cs="Times New Roman"/>
        </w:rPr>
        <w:t>和非模型</w:t>
      </w:r>
      <w:r>
        <w:rPr>
          <w:rFonts w:hint="eastAsia" w:cs="Times New Roman"/>
          <w:lang w:val="en-US" w:eastAsia="zh-CN"/>
        </w:rPr>
        <w:t>信息</w:t>
      </w:r>
      <w:r>
        <w:rPr>
          <w:rFonts w:cs="Times New Roman"/>
        </w:rPr>
        <w:t>的持久化存储及共享</w:t>
      </w:r>
      <w:r>
        <w:rPr>
          <w:rFonts w:hint="eastAsia" w:cs="Times New Roman"/>
          <w:lang w:eastAsia="zh-CN"/>
        </w:rPr>
        <w:t>。</w:t>
      </w:r>
    </w:p>
    <w:p w14:paraId="454EC977">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2  </w:t>
      </w:r>
      <w:r>
        <w:rPr>
          <w:rFonts w:cs="Times New Roman"/>
        </w:rPr>
        <w:t>数据</w:t>
      </w:r>
      <w:r>
        <w:rPr>
          <w:rFonts w:hint="eastAsia" w:cs="Times New Roman"/>
          <w:lang w:val="en-US" w:eastAsia="zh-CN"/>
        </w:rPr>
        <w:t>信息</w:t>
      </w:r>
      <w:r>
        <w:rPr>
          <w:rFonts w:cs="Times New Roman"/>
        </w:rPr>
        <w:t>的共享应包含在线共享、前置交换和离线拷贝三种方式，在线共享可提供浏览、查询、下载等方式，前置交换可通过前置机交换模型数据，离线拷贝可通过移动介质拷贝共享数据</w:t>
      </w:r>
      <w:r>
        <w:rPr>
          <w:rFonts w:hint="eastAsia" w:cs="Times New Roman"/>
          <w:lang w:eastAsia="zh-CN"/>
        </w:rPr>
        <w:t>。</w:t>
      </w:r>
    </w:p>
    <w:p w14:paraId="7A93C526">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3  </w:t>
      </w:r>
      <w:r>
        <w:rPr>
          <w:rFonts w:hint="eastAsia" w:cs="Times New Roman"/>
          <w:lang w:eastAsia="zh-CN"/>
        </w:rPr>
        <w:t>数据信息</w:t>
      </w:r>
      <w:r>
        <w:rPr>
          <w:rFonts w:cs="Times New Roman"/>
        </w:rPr>
        <w:t>共享的频次应根据内容的不同，提供实时共享或按需共享两种方式</w:t>
      </w:r>
      <w:r>
        <w:rPr>
          <w:rFonts w:hint="eastAsia" w:cs="Times New Roman"/>
          <w:lang w:eastAsia="zh-CN"/>
        </w:rPr>
        <w:t>。</w:t>
      </w:r>
    </w:p>
    <w:p w14:paraId="11FF4ABA">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4</w:t>
      </w:r>
      <w:r>
        <w:rPr>
          <w:rFonts w:cs="Times New Roman"/>
        </w:rPr>
        <w:t xml:space="preserve">  </w:t>
      </w:r>
      <w:r>
        <w:rPr>
          <w:rFonts w:hint="eastAsia" w:cs="Times New Roman"/>
          <w:lang w:eastAsia="zh-CN"/>
        </w:rPr>
        <w:t>数据信息</w:t>
      </w:r>
      <w:r>
        <w:rPr>
          <w:rFonts w:cs="Times New Roman"/>
        </w:rPr>
        <w:t>共享与交换应按照本标准各阶段的数据要求，基于标准的或公开的数据格式进行转换</w:t>
      </w:r>
      <w:r>
        <w:rPr>
          <w:rFonts w:hint="eastAsia" w:cs="Times New Roman"/>
          <w:lang w:eastAsia="zh-CN"/>
        </w:rPr>
        <w:t>。</w:t>
      </w:r>
    </w:p>
    <w:p w14:paraId="09E2883B">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5  </w:t>
      </w:r>
      <w:r>
        <w:rPr>
          <w:rFonts w:cs="Times New Roman"/>
        </w:rPr>
        <w:t>根据青岛市</w:t>
      </w:r>
      <w:r>
        <w:rPr>
          <w:rFonts w:hint="eastAsia" w:cs="Times New Roman"/>
        </w:rPr>
        <w:t>BIM模型存储系统</w:t>
      </w:r>
      <w:r>
        <w:rPr>
          <w:rFonts w:cs="Times New Roman"/>
        </w:rPr>
        <w:t>的要求，工程项目各阶段相关的</w:t>
      </w:r>
      <w:r>
        <w:rPr>
          <w:rFonts w:hint="eastAsia" w:cs="Times New Roman"/>
          <w:lang w:eastAsia="zh-CN"/>
        </w:rPr>
        <w:t>数据信息</w:t>
      </w:r>
      <w:r>
        <w:rPr>
          <w:rFonts w:cs="Times New Roman"/>
        </w:rPr>
        <w:t>应进行充分共享和交换</w:t>
      </w:r>
      <w:r>
        <w:rPr>
          <w:rFonts w:hint="eastAsia" w:cs="Times New Roman"/>
          <w:lang w:eastAsia="zh-CN"/>
        </w:rPr>
        <w:t>。</w:t>
      </w:r>
    </w:p>
    <w:p w14:paraId="5290FDEC">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6  </w:t>
      </w:r>
      <w:r>
        <w:rPr>
          <w:rFonts w:cs="Times New Roman"/>
        </w:rPr>
        <w:t>与BIM相关的</w:t>
      </w:r>
      <w:r>
        <w:rPr>
          <w:rFonts w:hint="eastAsia" w:cs="Times New Roman"/>
        </w:rPr>
        <w:t>数字化协同平台</w:t>
      </w:r>
      <w:r>
        <w:rPr>
          <w:rFonts w:cs="Times New Roman"/>
        </w:rPr>
        <w:t>应充分共享已建政务基础设施资源，具备满足系统运行的软硬件环境，并具备平台部署运行、数据协同共享、数据安全可靠等需求的网络环境，形成纵向互通、横向互联的网络体系</w:t>
      </w:r>
      <w:r>
        <w:rPr>
          <w:rFonts w:hint="eastAsia" w:cs="Times New Roman"/>
          <w:lang w:eastAsia="zh-CN"/>
        </w:rPr>
        <w:t>。</w:t>
      </w:r>
    </w:p>
    <w:p w14:paraId="1F6A334F">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7</w:t>
      </w:r>
      <w:r>
        <w:rPr>
          <w:rFonts w:cs="Times New Roman"/>
        </w:rPr>
        <w:t xml:space="preserve">  与 BIM 相关的</w:t>
      </w:r>
      <w:r>
        <w:rPr>
          <w:rFonts w:hint="eastAsia" w:cs="Times New Roman"/>
        </w:rPr>
        <w:t>数字化协同</w:t>
      </w:r>
      <w:r>
        <w:rPr>
          <w:rFonts w:cs="Times New Roman"/>
        </w:rPr>
        <w:t>平台的建设应按照网络安全等级保护标准要求，建立包含安全物理环境、安全通信</w:t>
      </w:r>
      <w:r>
        <w:rPr>
          <w:rFonts w:hint="eastAsia" w:cs="Times New Roman"/>
          <w:lang w:val="en-US" w:eastAsia="zh-CN"/>
        </w:rPr>
        <w:t>网络</w:t>
      </w:r>
      <w:r>
        <w:rPr>
          <w:rFonts w:cs="Times New Roman"/>
        </w:rPr>
        <w:t>、安全区域边界、安全计算环境和安全管理中心的技术安全保障体系，并形成包含安全管理制度、安全管理机构、安全管理人员、安全建设管理和安全运维管理的安全管理要求，加强安全认证、安全审计等安全管理措施，保障平台安全、稳定运行</w:t>
      </w:r>
      <w:r>
        <w:rPr>
          <w:rFonts w:hint="eastAsia" w:cs="Times New Roman"/>
          <w:lang w:eastAsia="zh-CN"/>
        </w:rPr>
        <w:t>。</w:t>
      </w:r>
    </w:p>
    <w:p w14:paraId="483F18BE">
      <w:pPr>
        <w:spacing w:before="156" w:after="156"/>
        <w:ind w:left="0" w:leftChars="0" w:firstLine="0" w:firstLineChars="0"/>
        <w:rPr>
          <w:rFonts w:hint="eastAsia" w:eastAsia="宋体" w:cs="Times New Roman"/>
          <w:lang w:eastAsia="zh-CN"/>
        </w:rPr>
      </w:pPr>
      <w:r>
        <w:rPr>
          <w:rFonts w:hint="eastAsia" w:cs="Times New Roman"/>
          <w:b/>
          <w:bCs/>
          <w:lang w:val="en-US" w:eastAsia="zh-CN"/>
        </w:rPr>
        <w:t>5.4.</w:t>
      </w:r>
      <w:r>
        <w:rPr>
          <w:rFonts w:cs="Times New Roman"/>
          <w:b/>
          <w:bCs/>
        </w:rPr>
        <w:t xml:space="preserve">8  </w:t>
      </w:r>
      <w:r>
        <w:rPr>
          <w:rFonts w:cs="Times New Roman"/>
        </w:rPr>
        <w:t>特定技术或特定应用场景下的</w:t>
      </w:r>
      <w:r>
        <w:rPr>
          <w:rFonts w:hint="eastAsia" w:cs="Times New Roman"/>
        </w:rPr>
        <w:t>数字化协同</w:t>
      </w:r>
      <w:r>
        <w:rPr>
          <w:rFonts w:cs="Times New Roman"/>
        </w:rPr>
        <w:t>平台，应根据网络安全等级保护标准中安全扩展要求的相关规定</w:t>
      </w:r>
      <w:r>
        <w:rPr>
          <w:rFonts w:hint="eastAsia" w:cs="Times New Roman"/>
        </w:rPr>
        <w:t>，</w:t>
      </w:r>
      <w:r>
        <w:rPr>
          <w:rFonts w:cs="Times New Roman"/>
        </w:rPr>
        <w:t>在满足技术安全保障与管理要求的基础上，完善云计算安全、移动互联安全、物联网安全方面的安全要求</w:t>
      </w:r>
      <w:r>
        <w:rPr>
          <w:rFonts w:hint="eastAsia" w:cs="Times New Roman"/>
          <w:lang w:eastAsia="zh-CN"/>
        </w:rPr>
        <w:t>。</w:t>
      </w:r>
    </w:p>
    <w:p w14:paraId="37A50FF5">
      <w:pPr>
        <w:spacing w:before="156" w:after="156"/>
        <w:ind w:left="0" w:leftChars="0" w:firstLine="0" w:firstLineChars="0"/>
        <w:rPr>
          <w:rFonts w:cs="Times New Roman"/>
        </w:rPr>
      </w:pPr>
      <w:r>
        <w:rPr>
          <w:rFonts w:hint="eastAsia" w:cs="Times New Roman"/>
          <w:b/>
          <w:bCs/>
          <w:lang w:val="en-US" w:eastAsia="zh-CN"/>
        </w:rPr>
        <w:t>5.4.</w:t>
      </w:r>
      <w:r>
        <w:rPr>
          <w:rFonts w:cs="Times New Roman"/>
          <w:b/>
          <w:bCs/>
        </w:rPr>
        <w:t xml:space="preserve">9  </w:t>
      </w:r>
      <w:r>
        <w:rPr>
          <w:rFonts w:hint="eastAsia" w:cs="Times New Roman"/>
          <w:lang w:eastAsia="zh-CN"/>
        </w:rPr>
        <w:t>数据信息</w:t>
      </w:r>
      <w:r>
        <w:rPr>
          <w:rFonts w:cs="Times New Roman"/>
        </w:rPr>
        <w:t>的采集、处理、传输、存储、交换和共享应符合《信息安全技术数据安全能力成熟度模型》GB/T37988、《数据管理能力成熟度评估模型》GB/T36073、《信息安全技术个人信息安全规范》GB/T 35273、《公共安全重点区域视频图像信息采集规范》GB 37300、《公共安全视频监控联网系统信息传输、交换、控制技术要求》GB 28181、《物联网信息交换和共享》GB/T 36478、《信息安全技术物联网数据传输安全技术要求》GB/T 37025、《信息技术云数据存储和管理》GB/T31916.1、《信息技术备份存储备份技术应用要求》GB/T 36092、《信息安全技术云存储系统安全技术要求》GA/T 1347等标准以及相关国家政策的规定。</w:t>
      </w:r>
    </w:p>
    <w:p w14:paraId="52620929">
      <w:pPr>
        <w:pStyle w:val="3"/>
        <w:spacing w:before="156" w:after="156"/>
        <w:ind w:firstLine="0" w:firstLineChars="0"/>
        <w:rPr>
          <w:rFonts w:cs="Times New Roman"/>
        </w:rPr>
      </w:pPr>
      <w:bookmarkStart w:id="47" w:name="_Toc23794"/>
      <w:bookmarkStart w:id="48" w:name="_Toc22604"/>
      <w:r>
        <w:rPr>
          <w:rFonts w:cs="Times New Roman"/>
        </w:rPr>
        <w:t xml:space="preserve">5.5  </w:t>
      </w:r>
      <w:r>
        <w:rPr>
          <w:rFonts w:hint="eastAsia" w:ascii="Times New Roman" w:hAnsi="Times New Roman" w:cs="Times New Roman"/>
          <w:b w:val="0"/>
          <w:bCs w:val="0"/>
          <w:lang w:val="en-US" w:eastAsia="zh-CN"/>
        </w:rPr>
        <w:t>归档</w:t>
      </w:r>
      <w:r>
        <w:rPr>
          <w:rFonts w:cs="Times New Roman"/>
          <w:b w:val="0"/>
          <w:bCs w:val="0"/>
        </w:rPr>
        <w:t>环境要求</w:t>
      </w:r>
      <w:bookmarkEnd w:id="47"/>
      <w:bookmarkEnd w:id="48"/>
    </w:p>
    <w:p w14:paraId="16065DF6">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 xml:space="preserve">1  </w:t>
      </w:r>
      <w:r>
        <w:rPr>
          <w:rFonts w:cs="Times New Roman"/>
        </w:rPr>
        <w:t>BIM档案管理系统的安全等级保护定级工作，应符合国家相关规定的要求。</w:t>
      </w:r>
    </w:p>
    <w:p w14:paraId="0D4F67B5">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 xml:space="preserve">2  </w:t>
      </w:r>
      <w:r>
        <w:rPr>
          <w:rFonts w:hint="eastAsia" w:cs="Times New Roman"/>
        </w:rPr>
        <w:t>BIM档案保管单位</w:t>
      </w:r>
      <w:r>
        <w:rPr>
          <w:rFonts w:cs="Times New Roman"/>
        </w:rPr>
        <w:t>应采取下列措施满足电子档案基本安全要求</w:t>
      </w:r>
      <w:r>
        <w:rPr>
          <w:rFonts w:hint="eastAsia" w:cs="Times New Roman"/>
        </w:rPr>
        <w:t>：</w:t>
      </w:r>
    </w:p>
    <w:p w14:paraId="3A4A4D37">
      <w:pPr>
        <w:spacing w:before="156" w:after="156"/>
        <w:ind w:firstLine="480"/>
        <w:rPr>
          <w:rFonts w:hint="eastAsia" w:eastAsia="宋体" w:cs="Times New Roman"/>
          <w:lang w:eastAsia="zh-CN"/>
        </w:rPr>
      </w:pPr>
      <w:r>
        <w:rPr>
          <w:rFonts w:hint="eastAsia" w:cs="Times New Roman"/>
          <w:b/>
          <w:bCs/>
          <w:lang w:val="en-US" w:eastAsia="zh-CN"/>
        </w:rPr>
        <w:t>1</w:t>
      </w:r>
      <w:r>
        <w:rPr>
          <w:rFonts w:hint="eastAsia" w:cs="Times New Roman"/>
          <w:lang w:val="en-US" w:eastAsia="zh-CN"/>
        </w:rPr>
        <w:t xml:space="preserve">  </w:t>
      </w:r>
      <w:r>
        <w:rPr>
          <w:rFonts w:cs="Times New Roman"/>
        </w:rPr>
        <w:t>技术上应对BIM档案管理系统的网络安全、设备安全、系统安全、应用安全和数据安全等进行保护</w:t>
      </w:r>
      <w:r>
        <w:rPr>
          <w:rFonts w:hint="eastAsia" w:cs="Times New Roman"/>
          <w:lang w:eastAsia="zh-CN"/>
        </w:rPr>
        <w:t>。</w:t>
      </w:r>
    </w:p>
    <w:p w14:paraId="4F81153D">
      <w:pPr>
        <w:spacing w:before="156" w:after="156"/>
        <w:ind w:firstLine="480"/>
        <w:rPr>
          <w:rFonts w:cs="Times New Roman"/>
        </w:rPr>
      </w:pPr>
      <w:r>
        <w:rPr>
          <w:rFonts w:hint="eastAsia" w:cs="Times New Roman"/>
          <w:b/>
          <w:bCs/>
          <w:lang w:val="en-US" w:eastAsia="zh-CN"/>
        </w:rPr>
        <w:t>2</w:t>
      </w:r>
      <w:r>
        <w:rPr>
          <w:rFonts w:hint="eastAsia" w:cs="Times New Roman"/>
          <w:lang w:val="en-US" w:eastAsia="zh-CN"/>
        </w:rPr>
        <w:t xml:space="preserve">  </w:t>
      </w:r>
      <w:r>
        <w:rPr>
          <w:rFonts w:cs="Times New Roman"/>
        </w:rPr>
        <w:t>管理上应制定运行维护、安全管理制度，设置安全管理岗位，落实计算机机房日常管理、系统运行安全等责任保障机制。</w:t>
      </w:r>
    </w:p>
    <w:p w14:paraId="2618B255">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 xml:space="preserve">3  </w:t>
      </w:r>
      <w:r>
        <w:rPr>
          <w:rFonts w:cs="Times New Roman"/>
        </w:rPr>
        <w:t>BIM档案管理系统的环境应符合现行国家标准《计算机场地通用规范》GB/T2887和《计算机场地安全要求》GB/T 9361的规定。</w:t>
      </w:r>
    </w:p>
    <w:p w14:paraId="1C7E334F">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 xml:space="preserve">4  </w:t>
      </w:r>
      <w:r>
        <w:rPr>
          <w:rFonts w:hint="eastAsia" w:cs="Times New Roman"/>
        </w:rPr>
        <w:t>BIM档案保管单位</w:t>
      </w:r>
      <w:r>
        <w:rPr>
          <w:rFonts w:cs="Times New Roman"/>
        </w:rPr>
        <w:t>应根据网络设施、系统主机和信息应用，采取身份鉴别</w:t>
      </w:r>
      <w:r>
        <w:rPr>
          <w:rFonts w:hint="eastAsia" w:cs="Times New Roman"/>
          <w:lang w:eastAsia="zh-CN"/>
        </w:rPr>
        <w:t>、</w:t>
      </w:r>
      <w:r>
        <w:rPr>
          <w:rFonts w:cs="Times New Roman"/>
        </w:rPr>
        <w:t>访问控制、资源控制、安全审计、边界完整性检查、</w:t>
      </w:r>
      <w:r>
        <w:rPr>
          <w:rFonts w:hint="eastAsia" w:cs="Times New Roman"/>
          <w:lang w:val="en-US" w:eastAsia="zh-CN"/>
        </w:rPr>
        <w:t>入侵</w:t>
      </w:r>
      <w:r>
        <w:rPr>
          <w:rFonts w:cs="Times New Roman"/>
        </w:rPr>
        <w:t>防范、恶意代码防范、剩余信息保护、通信完整性、通信保密性、抗抵赖、软件容错等保护信息安全的措施。</w:t>
      </w:r>
    </w:p>
    <w:p w14:paraId="30831BAB">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 xml:space="preserve">5  </w:t>
      </w:r>
      <w:r>
        <w:rPr>
          <w:rFonts w:hint="eastAsia" w:cs="Times New Roman"/>
        </w:rPr>
        <w:t>BIM档案保管单位</w:t>
      </w:r>
      <w:r>
        <w:rPr>
          <w:rFonts w:cs="Times New Roman"/>
        </w:rPr>
        <w:t>应制定电子签名管理制度，加强对电子印章的管理。</w:t>
      </w:r>
    </w:p>
    <w:p w14:paraId="30C92AEA">
      <w:pPr>
        <w:spacing w:before="156" w:after="156"/>
        <w:ind w:left="0" w:leftChars="0" w:firstLine="0" w:firstLineChars="0"/>
        <w:rPr>
          <w:rFonts w:cs="Times New Roman"/>
        </w:rPr>
      </w:pPr>
      <w:r>
        <w:rPr>
          <w:rFonts w:hint="eastAsia" w:cs="Times New Roman"/>
          <w:b/>
          <w:bCs/>
          <w:lang w:val="en-US" w:eastAsia="zh-CN"/>
        </w:rPr>
        <w:t>5.5.</w:t>
      </w:r>
      <w:r>
        <w:rPr>
          <w:rFonts w:cs="Times New Roman"/>
          <w:b/>
          <w:bCs/>
        </w:rPr>
        <w:t>6</w:t>
      </w:r>
      <w:r>
        <w:rPr>
          <w:rFonts w:cs="Times New Roman"/>
        </w:rPr>
        <w:t xml:space="preserve">  保管电子档案</w:t>
      </w:r>
      <w:r>
        <w:rPr>
          <w:rFonts w:hint="eastAsia" w:cs="Times New Roman"/>
          <w:lang w:eastAsia="zh-CN"/>
        </w:rPr>
        <w:t>存储介质</w:t>
      </w:r>
      <w:r>
        <w:rPr>
          <w:rFonts w:cs="Times New Roman"/>
        </w:rPr>
        <w:t>，应符合下列规定</w:t>
      </w:r>
      <w:r>
        <w:rPr>
          <w:rFonts w:hint="eastAsia" w:cs="Times New Roman"/>
        </w:rPr>
        <w:t>：</w:t>
      </w:r>
    </w:p>
    <w:p w14:paraId="30802AE6">
      <w:pPr>
        <w:spacing w:before="156" w:after="156"/>
        <w:ind w:firstLine="480"/>
        <w:rPr>
          <w:rFonts w:hint="eastAsia" w:eastAsia="宋体" w:cs="Times New Roman"/>
          <w:lang w:eastAsia="zh-CN"/>
        </w:rPr>
      </w:pPr>
      <w:r>
        <w:rPr>
          <w:rFonts w:hint="eastAsia" w:cs="Times New Roman"/>
          <w:b/>
          <w:bCs/>
          <w:lang w:val="en-US" w:eastAsia="zh-CN"/>
        </w:rPr>
        <w:t>1</w:t>
      </w:r>
      <w:r>
        <w:rPr>
          <w:rFonts w:hint="eastAsia" w:cs="Times New Roman"/>
          <w:lang w:val="en-US" w:eastAsia="zh-CN"/>
        </w:rPr>
        <w:t xml:space="preserve">  </w:t>
      </w:r>
      <w:r>
        <w:rPr>
          <w:rFonts w:cs="Times New Roman"/>
        </w:rPr>
        <w:t>电子档案磁性</w:t>
      </w:r>
      <w:r>
        <w:rPr>
          <w:rFonts w:hint="eastAsia" w:cs="Times New Roman"/>
          <w:lang w:eastAsia="zh-CN"/>
        </w:rPr>
        <w:t>存储介质</w:t>
      </w:r>
      <w:r>
        <w:rPr>
          <w:rFonts w:cs="Times New Roman"/>
        </w:rPr>
        <w:t>宜放入防磁柜中保存</w:t>
      </w:r>
      <w:r>
        <w:rPr>
          <w:rFonts w:hint="eastAsia" w:cs="Times New Roman"/>
          <w:lang w:eastAsia="zh-CN"/>
        </w:rPr>
        <w:t>。</w:t>
      </w:r>
    </w:p>
    <w:p w14:paraId="3FFA95DE">
      <w:pPr>
        <w:spacing w:before="156" w:after="156"/>
        <w:ind w:firstLine="480"/>
        <w:rPr>
          <w:rFonts w:hint="eastAsia" w:eastAsia="宋体" w:cs="Times New Roman"/>
          <w:lang w:eastAsia="zh-CN"/>
        </w:rPr>
      </w:pPr>
      <w:r>
        <w:rPr>
          <w:rFonts w:hint="eastAsia" w:cs="Times New Roman"/>
          <w:b/>
          <w:bCs/>
          <w:lang w:val="en-US" w:eastAsia="zh-CN"/>
        </w:rPr>
        <w:t>2</w:t>
      </w:r>
      <w:r>
        <w:rPr>
          <w:rFonts w:hint="eastAsia" w:cs="Times New Roman"/>
          <w:lang w:val="en-US" w:eastAsia="zh-CN"/>
        </w:rPr>
        <w:t xml:space="preserve">  </w:t>
      </w:r>
      <w:r>
        <w:rPr>
          <w:rFonts w:cs="Times New Roman"/>
        </w:rPr>
        <w:t>单片、单个存储媒</w:t>
      </w:r>
      <w:r>
        <w:rPr>
          <w:rFonts w:hint="eastAsia" w:cs="Times New Roman"/>
          <w:lang w:val="en-US" w:eastAsia="zh-CN"/>
        </w:rPr>
        <w:t>介</w:t>
      </w:r>
      <w:r>
        <w:rPr>
          <w:rFonts w:cs="Times New Roman"/>
        </w:rPr>
        <w:t>应装在盘、盒等包装中，包装应清洁无尘，并竖立存放，且避免挤压</w:t>
      </w:r>
      <w:r>
        <w:rPr>
          <w:rFonts w:hint="eastAsia" w:cs="Times New Roman"/>
          <w:lang w:eastAsia="zh-CN"/>
        </w:rPr>
        <w:t>。</w:t>
      </w:r>
    </w:p>
    <w:p w14:paraId="0B543719">
      <w:pPr>
        <w:spacing w:before="156" w:after="156"/>
        <w:ind w:firstLine="480"/>
        <w:rPr>
          <w:rFonts w:hint="eastAsia" w:eastAsia="宋体" w:cs="Times New Roman"/>
          <w:lang w:eastAsia="zh-CN"/>
        </w:rPr>
      </w:pPr>
      <w:r>
        <w:rPr>
          <w:rFonts w:hint="eastAsia" w:cs="Times New Roman"/>
          <w:b/>
          <w:bCs/>
          <w:lang w:val="en-US" w:eastAsia="zh-CN"/>
        </w:rPr>
        <w:t>3</w:t>
      </w:r>
      <w:r>
        <w:rPr>
          <w:rFonts w:hint="eastAsia" w:cs="Times New Roman"/>
          <w:lang w:val="en-US" w:eastAsia="zh-CN"/>
        </w:rPr>
        <w:t xml:space="preserve">  </w:t>
      </w:r>
      <w:r>
        <w:rPr>
          <w:rFonts w:cs="Times New Roman"/>
        </w:rPr>
        <w:t>环境温度应保持在14℃~24℃之间，昼夜温度变化不超过±2℃；相对湿度应保持在35%</w:t>
      </w:r>
      <w:r>
        <w:rPr>
          <w:rFonts w:hint="eastAsia" w:cs="Times New Roman"/>
          <w:lang w:eastAsia="zh-CN"/>
        </w:rPr>
        <w:t>～</w:t>
      </w:r>
      <w:r>
        <w:rPr>
          <w:rFonts w:cs="Times New Roman"/>
        </w:rPr>
        <w:t>45%之</w:t>
      </w:r>
      <w:r>
        <w:rPr>
          <w:rFonts w:hint="eastAsia" w:cs="Times New Roman"/>
          <w:lang w:val="en-US" w:eastAsia="zh-CN"/>
        </w:rPr>
        <w:t>间</w:t>
      </w:r>
      <w:r>
        <w:rPr>
          <w:rFonts w:cs="Times New Roman"/>
        </w:rPr>
        <w:t>，相对湿度昼夜变化不</w:t>
      </w:r>
      <w:r>
        <w:rPr>
          <w:rFonts w:hint="eastAsia" w:cs="Times New Roman"/>
          <w:lang w:eastAsia="zh-CN"/>
        </w:rPr>
        <w:t>超过</w:t>
      </w:r>
      <w:r>
        <w:rPr>
          <w:rFonts w:hint="eastAsia" w:cs="Times New Roman"/>
          <w:lang w:val="en-US" w:eastAsia="zh-CN"/>
        </w:rPr>
        <w:t>±</w:t>
      </w:r>
      <w:r>
        <w:rPr>
          <w:rFonts w:cs="Times New Roman"/>
        </w:rPr>
        <w:t>5%</w:t>
      </w:r>
      <w:r>
        <w:rPr>
          <w:rFonts w:hint="eastAsia" w:cs="Times New Roman"/>
          <w:lang w:eastAsia="zh-CN"/>
        </w:rPr>
        <w:t>。</w:t>
      </w:r>
    </w:p>
    <w:p w14:paraId="38D27E91">
      <w:pPr>
        <w:spacing w:before="156" w:after="156"/>
        <w:ind w:firstLine="480"/>
        <w:rPr>
          <w:rFonts w:hint="eastAsia" w:eastAsia="宋体" w:cs="Times New Roman"/>
          <w:lang w:eastAsia="zh-CN"/>
        </w:rPr>
      </w:pPr>
      <w:r>
        <w:rPr>
          <w:rFonts w:hint="eastAsia" w:cs="Times New Roman"/>
          <w:b/>
          <w:bCs/>
          <w:lang w:val="en-US" w:eastAsia="zh-CN"/>
        </w:rPr>
        <w:t>4</w:t>
      </w:r>
      <w:r>
        <w:rPr>
          <w:rFonts w:hint="eastAsia" w:cs="Times New Roman"/>
          <w:lang w:val="en-US" w:eastAsia="zh-CN"/>
        </w:rPr>
        <w:t xml:space="preserve">  </w:t>
      </w:r>
      <w:r>
        <w:rPr>
          <w:rFonts w:hint="eastAsia" w:cs="Times New Roman"/>
          <w:lang w:eastAsia="zh-CN"/>
        </w:rPr>
        <w:t>存储介质</w:t>
      </w:r>
      <w:r>
        <w:rPr>
          <w:rFonts w:cs="Times New Roman"/>
        </w:rPr>
        <w:t>应与有害气体隔离</w:t>
      </w:r>
      <w:r>
        <w:rPr>
          <w:rFonts w:hint="eastAsia" w:cs="Times New Roman"/>
          <w:lang w:eastAsia="zh-CN"/>
        </w:rPr>
        <w:t>。</w:t>
      </w:r>
    </w:p>
    <w:p w14:paraId="7E4E5B43">
      <w:pPr>
        <w:spacing w:before="156" w:after="156"/>
        <w:ind w:firstLine="480"/>
        <w:rPr>
          <w:rFonts w:cs="Times New Roman"/>
        </w:rPr>
      </w:pPr>
      <w:r>
        <w:rPr>
          <w:rFonts w:hint="eastAsia" w:cs="Times New Roman"/>
          <w:b/>
          <w:bCs/>
          <w:lang w:val="en-US" w:eastAsia="zh-CN"/>
        </w:rPr>
        <w:t>5</w:t>
      </w:r>
      <w:r>
        <w:rPr>
          <w:rFonts w:hint="eastAsia" w:cs="Times New Roman"/>
          <w:lang w:val="en-US" w:eastAsia="zh-CN"/>
        </w:rPr>
        <w:t xml:space="preserve">  </w:t>
      </w:r>
      <w:r>
        <w:rPr>
          <w:rFonts w:cs="Times New Roman"/>
        </w:rPr>
        <w:t>存放地点应做到防火、防虫、防鼠、防盗、防尘、防湿、防高温、防光和防振动。</w:t>
      </w:r>
    </w:p>
    <w:p w14:paraId="1F100A56">
      <w:pPr>
        <w:pStyle w:val="3"/>
        <w:spacing w:before="156" w:after="156"/>
        <w:ind w:firstLine="0" w:firstLineChars="0"/>
        <w:rPr>
          <w:rFonts w:cs="Times New Roman"/>
        </w:rPr>
      </w:pPr>
      <w:bookmarkStart w:id="49" w:name="_Toc31363"/>
      <w:bookmarkStart w:id="50" w:name="_Toc13267"/>
      <w:r>
        <w:rPr>
          <w:rFonts w:cs="Times New Roman"/>
        </w:rPr>
        <w:t xml:space="preserve">5.6  </w:t>
      </w:r>
      <w:r>
        <w:rPr>
          <w:rFonts w:hint="eastAsia" w:cs="Times New Roman"/>
          <w:b w:val="0"/>
          <w:bCs w:val="0"/>
          <w:lang w:val="en-US" w:eastAsia="zh-CN"/>
        </w:rPr>
        <w:t>BIM档案</w:t>
      </w:r>
      <w:r>
        <w:rPr>
          <w:rFonts w:cs="Times New Roman"/>
          <w:b w:val="0"/>
          <w:bCs w:val="0"/>
        </w:rPr>
        <w:t>维护</w:t>
      </w:r>
      <w:bookmarkEnd w:id="49"/>
      <w:bookmarkEnd w:id="50"/>
    </w:p>
    <w:p w14:paraId="4569356C">
      <w:pPr>
        <w:spacing w:before="156" w:after="156"/>
        <w:ind w:left="0" w:leftChars="0" w:firstLine="0" w:firstLineChars="0"/>
        <w:rPr>
          <w:rFonts w:hint="eastAsia" w:eastAsia="宋体" w:cs="Times New Roman"/>
          <w:lang w:eastAsia="zh-CN"/>
        </w:rPr>
      </w:pPr>
      <w:r>
        <w:rPr>
          <w:rFonts w:hint="eastAsia" w:cs="Times New Roman"/>
          <w:b/>
          <w:bCs/>
          <w:lang w:val="en-US" w:eastAsia="zh-CN"/>
        </w:rPr>
        <w:t>5.6.</w:t>
      </w:r>
      <w:r>
        <w:rPr>
          <w:rFonts w:cs="Times New Roman"/>
          <w:b/>
          <w:bCs/>
        </w:rPr>
        <w:t>1</w:t>
      </w:r>
      <w:r>
        <w:rPr>
          <w:rFonts w:cs="Times New Roman"/>
        </w:rPr>
        <w:t xml:space="preserve">  </w:t>
      </w:r>
      <w:r>
        <w:rPr>
          <w:rFonts w:hint="eastAsia" w:cs="Times New Roman"/>
        </w:rPr>
        <w:t>BIM档案保管单位</w:t>
      </w:r>
      <w:r>
        <w:rPr>
          <w:rFonts w:cs="Times New Roman"/>
        </w:rPr>
        <w:t>应对在线存储和离线存储的电子档案进行保管</w:t>
      </w:r>
      <w:r>
        <w:rPr>
          <w:rFonts w:hint="eastAsia" w:cs="Times New Roman"/>
        </w:rPr>
        <w:t>，</w:t>
      </w:r>
      <w:r>
        <w:rPr>
          <w:rFonts w:cs="Times New Roman"/>
        </w:rPr>
        <w:t>应配备符合规定的计算机机房、硬件设备、信息管理系统和网络设施，实现对电子档案的有效管理</w:t>
      </w:r>
      <w:r>
        <w:rPr>
          <w:rFonts w:hint="eastAsia" w:cs="Times New Roman"/>
          <w:lang w:eastAsia="zh-CN"/>
        </w:rPr>
        <w:t>。</w:t>
      </w:r>
    </w:p>
    <w:p w14:paraId="70334234">
      <w:pPr>
        <w:spacing w:before="156" w:after="156"/>
        <w:ind w:left="0" w:leftChars="0" w:firstLine="0" w:firstLineChars="0"/>
        <w:rPr>
          <w:rFonts w:hint="eastAsia" w:eastAsia="宋体" w:cs="Times New Roman"/>
          <w:lang w:eastAsia="zh-CN"/>
        </w:rPr>
      </w:pPr>
      <w:r>
        <w:rPr>
          <w:rFonts w:hint="eastAsia" w:cs="Times New Roman"/>
          <w:b/>
          <w:bCs/>
          <w:lang w:val="en-US" w:eastAsia="zh-CN"/>
        </w:rPr>
        <w:t>5.6.</w:t>
      </w:r>
      <w:r>
        <w:rPr>
          <w:rFonts w:cs="Times New Roman"/>
          <w:b/>
          <w:bCs/>
        </w:rPr>
        <w:t xml:space="preserve">2  </w:t>
      </w:r>
      <w:r>
        <w:rPr>
          <w:rFonts w:hint="eastAsia" w:cs="Times New Roman"/>
        </w:rPr>
        <w:t>BIM档案保管单位</w:t>
      </w:r>
      <w:r>
        <w:rPr>
          <w:rFonts w:cs="Times New Roman"/>
        </w:rPr>
        <w:t>应定期检查电子档案读取</w:t>
      </w:r>
      <w:r>
        <w:rPr>
          <w:rFonts w:hint="eastAsia" w:cs="Times New Roman"/>
          <w:lang w:eastAsia="zh-CN"/>
        </w:rPr>
        <w:t>、</w:t>
      </w:r>
      <w:r>
        <w:rPr>
          <w:rFonts w:hint="eastAsia" w:cs="Times New Roman"/>
          <w:lang w:val="en-US" w:eastAsia="zh-CN"/>
        </w:rPr>
        <w:t>处理设备。</w:t>
      </w:r>
      <w:r>
        <w:rPr>
          <w:rFonts w:cs="Times New Roman"/>
        </w:rPr>
        <w:t>设备环境更新时应确认电子档案</w:t>
      </w:r>
      <w:r>
        <w:rPr>
          <w:rFonts w:hint="eastAsia" w:cs="Times New Roman"/>
          <w:lang w:eastAsia="zh-CN"/>
        </w:rPr>
        <w:t>存储介质</w:t>
      </w:r>
      <w:r>
        <w:rPr>
          <w:rFonts w:cs="Times New Roman"/>
        </w:rPr>
        <w:t>与新设备的兼容性，如不兼容，应进行</w:t>
      </w:r>
      <w:r>
        <w:rPr>
          <w:rFonts w:hint="eastAsia" w:cs="Times New Roman"/>
          <w:lang w:eastAsia="zh-CN"/>
        </w:rPr>
        <w:t>存储介质</w:t>
      </w:r>
      <w:r>
        <w:rPr>
          <w:rFonts w:cs="Times New Roman"/>
        </w:rPr>
        <w:t>转换，原</w:t>
      </w:r>
      <w:r>
        <w:rPr>
          <w:rFonts w:hint="eastAsia" w:cs="Times New Roman"/>
          <w:lang w:eastAsia="zh-CN"/>
        </w:rPr>
        <w:t>存储介质</w:t>
      </w:r>
      <w:r>
        <w:rPr>
          <w:rFonts w:cs="Times New Roman"/>
        </w:rPr>
        <w:t>保留时间不应少于3年</w:t>
      </w:r>
      <w:r>
        <w:rPr>
          <w:rFonts w:hint="eastAsia" w:cs="Times New Roman"/>
          <w:lang w:eastAsia="zh-CN"/>
        </w:rPr>
        <w:t>。</w:t>
      </w:r>
    </w:p>
    <w:p w14:paraId="797FBA26">
      <w:pPr>
        <w:spacing w:before="156" w:after="156"/>
        <w:ind w:left="0" w:leftChars="0" w:firstLine="0" w:firstLineChars="0"/>
        <w:rPr>
          <w:rFonts w:cs="Times New Roman"/>
        </w:rPr>
      </w:pPr>
      <w:r>
        <w:rPr>
          <w:rFonts w:hint="eastAsia" w:cs="Times New Roman"/>
          <w:b/>
          <w:bCs/>
          <w:lang w:val="en-US" w:eastAsia="zh-CN"/>
        </w:rPr>
        <w:t>5.6.</w:t>
      </w:r>
      <w:r>
        <w:rPr>
          <w:rFonts w:cs="Times New Roman"/>
          <w:b/>
          <w:bCs/>
        </w:rPr>
        <w:t xml:space="preserve">3  </w:t>
      </w:r>
      <w:r>
        <w:rPr>
          <w:rFonts w:hint="eastAsia" w:cs="Times New Roman"/>
        </w:rPr>
        <w:t>BIM档案保管单位</w:t>
      </w:r>
      <w:r>
        <w:rPr>
          <w:rFonts w:cs="Times New Roman"/>
        </w:rPr>
        <w:t>对保存的BIM电子档案，应进行定期检查，检查应符合下列规定</w:t>
      </w:r>
      <w:r>
        <w:rPr>
          <w:rFonts w:hint="eastAsia" w:cs="Times New Roman"/>
        </w:rPr>
        <w:t>：</w:t>
      </w:r>
    </w:p>
    <w:p w14:paraId="34154E59">
      <w:pPr>
        <w:spacing w:before="156" w:after="156"/>
        <w:ind w:firstLine="480"/>
        <w:rPr>
          <w:rFonts w:hint="eastAsia" w:eastAsia="宋体" w:cs="Times New Roman"/>
          <w:lang w:eastAsia="zh-CN"/>
        </w:rPr>
      </w:pPr>
      <w:r>
        <w:rPr>
          <w:rFonts w:hint="eastAsia" w:cs="Times New Roman"/>
          <w:b/>
          <w:bCs/>
          <w:lang w:val="en-US" w:eastAsia="zh-CN"/>
        </w:rPr>
        <w:t>1</w:t>
      </w:r>
      <w:r>
        <w:rPr>
          <w:rFonts w:hint="eastAsia" w:cs="Times New Roman"/>
          <w:lang w:val="en-US" w:eastAsia="zh-CN"/>
        </w:rPr>
        <w:t xml:space="preserve">  </w:t>
      </w:r>
      <w:r>
        <w:rPr>
          <w:rFonts w:cs="Times New Roman"/>
        </w:rPr>
        <w:t>检查方法应包括人工抽检和机读检测</w:t>
      </w:r>
      <w:r>
        <w:rPr>
          <w:rFonts w:hint="eastAsia" w:cs="Times New Roman"/>
          <w:lang w:eastAsia="zh-CN"/>
        </w:rPr>
        <w:t>。</w:t>
      </w:r>
    </w:p>
    <w:p w14:paraId="306B80A1">
      <w:pPr>
        <w:spacing w:before="156" w:after="156"/>
        <w:ind w:firstLine="480"/>
        <w:rPr>
          <w:rFonts w:hint="eastAsia" w:eastAsia="宋体" w:cs="Times New Roman"/>
          <w:lang w:eastAsia="zh-CN"/>
        </w:rPr>
      </w:pPr>
      <w:r>
        <w:rPr>
          <w:rFonts w:hint="eastAsia" w:cs="Times New Roman"/>
          <w:b/>
          <w:bCs/>
          <w:lang w:val="en-US" w:eastAsia="zh-CN"/>
        </w:rPr>
        <w:t>2</w:t>
      </w:r>
      <w:r>
        <w:rPr>
          <w:rFonts w:hint="eastAsia" w:cs="Times New Roman"/>
          <w:lang w:val="en-US" w:eastAsia="zh-CN"/>
        </w:rPr>
        <w:t xml:space="preserve">  </w:t>
      </w:r>
      <w:r>
        <w:rPr>
          <w:rFonts w:cs="Times New Roman"/>
        </w:rPr>
        <w:t>对脱机保存的电子档案，应根据不同</w:t>
      </w:r>
      <w:r>
        <w:rPr>
          <w:rFonts w:hint="eastAsia" w:cs="Times New Roman"/>
          <w:lang w:eastAsia="zh-CN"/>
        </w:rPr>
        <w:t>存储介质</w:t>
      </w:r>
      <w:r>
        <w:rPr>
          <w:rFonts w:cs="Times New Roman"/>
        </w:rPr>
        <w:t>的寿命定期进行人工抽检</w:t>
      </w:r>
      <w:r>
        <w:rPr>
          <w:rFonts w:hint="eastAsia" w:cs="Times New Roman"/>
          <w:lang w:eastAsia="zh-CN"/>
        </w:rPr>
        <w:t>。</w:t>
      </w:r>
    </w:p>
    <w:p w14:paraId="2732613A">
      <w:pPr>
        <w:spacing w:before="156" w:after="156"/>
        <w:ind w:firstLine="480"/>
        <w:rPr>
          <w:rFonts w:hint="eastAsia" w:eastAsia="宋体" w:cs="Times New Roman"/>
          <w:lang w:eastAsia="zh-CN"/>
        </w:rPr>
      </w:pPr>
      <w:r>
        <w:rPr>
          <w:rFonts w:hint="eastAsia" w:cs="Times New Roman"/>
          <w:b/>
          <w:bCs/>
          <w:lang w:val="en-US" w:eastAsia="zh-CN"/>
        </w:rPr>
        <w:t>3</w:t>
      </w:r>
      <w:r>
        <w:rPr>
          <w:rFonts w:hint="eastAsia" w:cs="Times New Roman"/>
          <w:lang w:val="en-US" w:eastAsia="zh-CN"/>
        </w:rPr>
        <w:t xml:space="preserve"> </w:t>
      </w:r>
      <w:r>
        <w:rPr>
          <w:rFonts w:cs="Times New Roman"/>
        </w:rPr>
        <w:t xml:space="preserve"> 对系统中运转的在线数据，应定期进行机读检测</w:t>
      </w:r>
      <w:r>
        <w:rPr>
          <w:rFonts w:hint="eastAsia" w:cs="Times New Roman"/>
          <w:lang w:eastAsia="zh-CN"/>
        </w:rPr>
        <w:t>。</w:t>
      </w:r>
    </w:p>
    <w:p w14:paraId="52C8C583">
      <w:pPr>
        <w:spacing w:before="156" w:after="156"/>
        <w:ind w:firstLine="480"/>
        <w:rPr>
          <w:rFonts w:cs="Times New Roman"/>
        </w:rPr>
      </w:pPr>
      <w:r>
        <w:rPr>
          <w:rFonts w:hint="eastAsia" w:cs="Times New Roman"/>
          <w:b/>
          <w:bCs/>
          <w:lang w:val="en-US" w:eastAsia="zh-CN"/>
        </w:rPr>
        <w:t>4</w:t>
      </w:r>
      <w:r>
        <w:rPr>
          <w:rFonts w:hint="eastAsia" w:cs="Times New Roman"/>
          <w:lang w:val="en-US" w:eastAsia="zh-CN"/>
        </w:rPr>
        <w:t xml:space="preserve"> </w:t>
      </w:r>
      <w:r>
        <w:rPr>
          <w:rFonts w:cs="Times New Roman"/>
        </w:rPr>
        <w:t xml:space="preserve"> 在定期检查过程中发现问题应及时采取补救措施。</w:t>
      </w:r>
    </w:p>
    <w:p w14:paraId="7B4E0B74">
      <w:pPr>
        <w:spacing w:before="156" w:after="156"/>
        <w:ind w:left="0" w:leftChars="0" w:firstLine="0" w:firstLineChars="0"/>
        <w:rPr>
          <w:rFonts w:cs="Times New Roman"/>
        </w:rPr>
      </w:pPr>
      <w:r>
        <w:rPr>
          <w:rFonts w:hint="eastAsia" w:cs="Times New Roman"/>
          <w:b/>
          <w:bCs/>
          <w:lang w:val="en-US" w:eastAsia="zh-CN"/>
        </w:rPr>
        <w:t>5.6.</w:t>
      </w:r>
      <w:r>
        <w:rPr>
          <w:rFonts w:cs="Times New Roman"/>
          <w:b/>
          <w:bCs/>
        </w:rPr>
        <w:t>4</w:t>
      </w:r>
      <w:r>
        <w:rPr>
          <w:rFonts w:cs="Times New Roman"/>
        </w:rPr>
        <w:t xml:space="preserve">  城建档案管理机构应定期备份电子档案，备份应符合下列规定：</w:t>
      </w:r>
    </w:p>
    <w:p w14:paraId="7C1A4B50">
      <w:pPr>
        <w:spacing w:before="156" w:after="156"/>
        <w:ind w:firstLine="480"/>
        <w:rPr>
          <w:rFonts w:hint="eastAsia" w:eastAsia="宋体" w:cs="Times New Roman"/>
          <w:lang w:eastAsia="zh-CN"/>
        </w:rPr>
      </w:pPr>
      <w:r>
        <w:rPr>
          <w:rFonts w:hint="eastAsia" w:cs="Times New Roman"/>
          <w:b/>
          <w:bCs/>
          <w:lang w:val="en-US" w:eastAsia="zh-CN"/>
        </w:rPr>
        <w:t>1</w:t>
      </w:r>
      <w:r>
        <w:rPr>
          <w:rFonts w:hint="eastAsia" w:cs="Times New Roman"/>
          <w:lang w:val="en-US" w:eastAsia="zh-CN"/>
        </w:rPr>
        <w:t xml:space="preserve">  </w:t>
      </w:r>
      <w:r>
        <w:rPr>
          <w:rFonts w:cs="Times New Roman"/>
        </w:rPr>
        <w:t>应采取本地备份和异地备份并行的工作策略</w:t>
      </w:r>
      <w:r>
        <w:rPr>
          <w:rFonts w:hint="eastAsia" w:cs="Times New Roman"/>
          <w:lang w:eastAsia="zh-CN"/>
        </w:rPr>
        <w:t>。</w:t>
      </w:r>
    </w:p>
    <w:p w14:paraId="17C824BD">
      <w:pPr>
        <w:spacing w:before="156" w:after="156"/>
        <w:ind w:firstLine="480"/>
        <w:rPr>
          <w:rFonts w:cs="Times New Roman"/>
        </w:rPr>
      </w:pPr>
      <w:r>
        <w:rPr>
          <w:rFonts w:hint="eastAsia" w:cs="Times New Roman"/>
          <w:b/>
          <w:bCs/>
          <w:lang w:val="en-US" w:eastAsia="zh-CN"/>
        </w:rPr>
        <w:t>2</w:t>
      </w:r>
      <w:r>
        <w:rPr>
          <w:rFonts w:hint="eastAsia" w:cs="Times New Roman"/>
          <w:lang w:val="en-US" w:eastAsia="zh-CN"/>
        </w:rPr>
        <w:t xml:space="preserve">  </w:t>
      </w:r>
      <w:r>
        <w:rPr>
          <w:rFonts w:cs="Times New Roman"/>
        </w:rPr>
        <w:t>应同时备份保障数据恢复的管理系统与应用软件。</w:t>
      </w:r>
    </w:p>
    <w:p w14:paraId="7436370E">
      <w:pPr>
        <w:spacing w:before="156" w:after="156"/>
        <w:ind w:left="0" w:leftChars="0" w:firstLine="0" w:firstLineChars="0"/>
        <w:rPr>
          <w:rFonts w:cs="Times New Roman"/>
        </w:rPr>
      </w:pPr>
      <w:r>
        <w:rPr>
          <w:rFonts w:hint="eastAsia" w:cs="Times New Roman"/>
          <w:b/>
          <w:bCs/>
          <w:lang w:val="en-US" w:eastAsia="zh-CN"/>
        </w:rPr>
        <w:t>5.6.</w:t>
      </w:r>
      <w:r>
        <w:rPr>
          <w:rFonts w:cs="Times New Roman"/>
          <w:b/>
          <w:bCs/>
        </w:rPr>
        <w:t xml:space="preserve">5  </w:t>
      </w:r>
      <w:r>
        <w:rPr>
          <w:rFonts w:cs="Times New Roman"/>
        </w:rPr>
        <w:t>对电子档案内容的备份可根据实际情况选择完全备份、差异备份或增量备份。</w:t>
      </w:r>
    </w:p>
    <w:p w14:paraId="5EEB1077">
      <w:pPr>
        <w:spacing w:before="156" w:after="156"/>
        <w:ind w:left="0" w:leftChars="0" w:firstLine="0" w:firstLineChars="0"/>
        <w:rPr>
          <w:rFonts w:cs="Times New Roman"/>
        </w:rPr>
      </w:pPr>
      <w:r>
        <w:rPr>
          <w:rFonts w:hint="eastAsia" w:cs="Times New Roman"/>
          <w:b/>
          <w:bCs/>
          <w:lang w:val="en-US" w:eastAsia="zh-CN"/>
        </w:rPr>
        <w:t>5.6.</w:t>
      </w:r>
      <w:r>
        <w:rPr>
          <w:rFonts w:cs="Times New Roman"/>
          <w:b/>
          <w:bCs/>
        </w:rPr>
        <w:t>6</w:t>
      </w:r>
      <w:r>
        <w:rPr>
          <w:rFonts w:cs="Times New Roman"/>
        </w:rPr>
        <w:t xml:space="preserve">  备份方式可采用数据脱机备份或数据热备份</w:t>
      </w:r>
      <w:r>
        <w:rPr>
          <w:rFonts w:hint="eastAsia" w:cs="Times New Roman"/>
          <w:lang w:eastAsia="zh-CN"/>
        </w:rPr>
        <w:t>；</w:t>
      </w:r>
      <w:r>
        <w:rPr>
          <w:rFonts w:cs="Times New Roman"/>
        </w:rPr>
        <w:t>数据热备份所采用的网络应确保数据安全。</w:t>
      </w:r>
    </w:p>
    <w:p w14:paraId="7AE39326">
      <w:pPr>
        <w:spacing w:before="156" w:after="156"/>
        <w:ind w:left="0" w:leftChars="0" w:firstLine="0" w:firstLineChars="0"/>
        <w:rPr>
          <w:rFonts w:cs="Times New Roman"/>
        </w:rPr>
      </w:pPr>
      <w:r>
        <w:rPr>
          <w:rFonts w:hint="eastAsia" w:cs="Times New Roman"/>
          <w:b/>
          <w:bCs/>
          <w:lang w:val="en-US" w:eastAsia="zh-CN"/>
        </w:rPr>
        <w:t>5.6.</w:t>
      </w:r>
      <w:r>
        <w:rPr>
          <w:rFonts w:cs="Times New Roman"/>
          <w:b/>
          <w:bCs/>
        </w:rPr>
        <w:t>7</w:t>
      </w:r>
      <w:r>
        <w:rPr>
          <w:rFonts w:cs="Times New Roman"/>
        </w:rPr>
        <w:t xml:space="preserve">  对于备份的数据每年应安排一次恢复演练，备份数据应可恢复。</w:t>
      </w:r>
      <w:bookmarkStart w:id="51" w:name="_Toc8531"/>
    </w:p>
    <w:p w14:paraId="6BD7311A">
      <w:pPr>
        <w:rPr>
          <w:rFonts w:cs="Times New Roman"/>
        </w:rPr>
      </w:pPr>
      <w:bookmarkStart w:id="52" w:name="_Toc22983"/>
      <w:r>
        <w:rPr>
          <w:rFonts w:cs="Times New Roman"/>
        </w:rPr>
        <w:br w:type="page"/>
      </w:r>
    </w:p>
    <w:p w14:paraId="0791048E">
      <w:pPr>
        <w:pStyle w:val="2"/>
        <w:spacing w:before="156" w:after="156"/>
        <w:ind w:firstLine="0" w:firstLineChars="0"/>
        <w:rPr>
          <w:rFonts w:hint="default" w:eastAsia="宋体" w:cs="Times New Roman"/>
          <w:lang w:val="en-US" w:eastAsia="zh-CN"/>
        </w:rPr>
      </w:pPr>
      <w:r>
        <w:rPr>
          <w:rFonts w:cs="Times New Roman"/>
        </w:rPr>
        <w:t xml:space="preserve">6  </w:t>
      </w:r>
      <w:bookmarkEnd w:id="51"/>
      <w:r>
        <w:rPr>
          <w:rFonts w:hint="eastAsia" w:cs="Times New Roman"/>
          <w:b w:val="0"/>
          <w:bCs w:val="0"/>
          <w:lang w:eastAsia="zh-CN"/>
        </w:rPr>
        <w:t>交付</w:t>
      </w:r>
      <w:r>
        <w:rPr>
          <w:rFonts w:hint="eastAsia" w:cs="Times New Roman"/>
          <w:b w:val="0"/>
          <w:bCs w:val="0"/>
          <w:lang w:val="en-US" w:eastAsia="zh-CN"/>
        </w:rPr>
        <w:t>物及要求</w:t>
      </w:r>
      <w:bookmarkEnd w:id="52"/>
    </w:p>
    <w:p w14:paraId="616876DA">
      <w:pPr>
        <w:pStyle w:val="3"/>
        <w:spacing w:before="156" w:after="156"/>
        <w:ind w:firstLine="0" w:firstLineChars="0"/>
        <w:rPr>
          <w:rFonts w:cs="Times New Roman"/>
        </w:rPr>
      </w:pPr>
      <w:bookmarkStart w:id="53" w:name="_Toc627"/>
      <w:bookmarkStart w:id="54" w:name="_Toc30107"/>
      <w:r>
        <w:rPr>
          <w:rFonts w:cs="Times New Roman"/>
        </w:rPr>
        <w:t>6.1</w:t>
      </w:r>
      <w:r>
        <w:rPr>
          <w:rFonts w:hint="eastAsia" w:cs="Times New Roman"/>
        </w:rPr>
        <w:t xml:space="preserve">  </w:t>
      </w:r>
      <w:r>
        <w:rPr>
          <w:rFonts w:cs="Times New Roman"/>
          <w:b w:val="0"/>
        </w:rPr>
        <w:t>一般规定</w:t>
      </w:r>
      <w:bookmarkEnd w:id="53"/>
      <w:bookmarkEnd w:id="54"/>
    </w:p>
    <w:p w14:paraId="7FA47D08">
      <w:pPr>
        <w:spacing w:before="156" w:after="156"/>
        <w:ind w:firstLine="0" w:firstLineChars="0"/>
        <w:rPr>
          <w:rFonts w:cs="Times New Roman"/>
          <w:b/>
        </w:rPr>
      </w:pPr>
      <w:r>
        <w:rPr>
          <w:rFonts w:cs="Times New Roman"/>
          <w:b/>
        </w:rPr>
        <w:t>6.1.1</w:t>
      </w:r>
      <w:r>
        <w:rPr>
          <w:rFonts w:hint="eastAsia" w:cs="Times New Roman"/>
          <w:b/>
        </w:rPr>
        <w:t xml:space="preserve">  </w:t>
      </w:r>
      <w:r>
        <w:rPr>
          <w:rFonts w:cs="Times New Roman"/>
          <w:bCs/>
        </w:rPr>
        <w:t>建筑信息模型交付准备过程中，应根据交付深度、交付物形式、交付协同要求安排模型架构和选取适宜的</w:t>
      </w:r>
      <w:r>
        <w:rPr>
          <w:rFonts w:hint="eastAsia" w:cs="Times New Roman"/>
          <w:bCs/>
          <w:lang w:eastAsia="zh-CN"/>
        </w:rPr>
        <w:t>模型细度</w:t>
      </w:r>
      <w:r>
        <w:rPr>
          <w:rFonts w:cs="Times New Roman"/>
          <w:bCs/>
        </w:rPr>
        <w:t>，并应根据设计信息输入模型内容。</w:t>
      </w:r>
    </w:p>
    <w:p w14:paraId="645D9510">
      <w:pPr>
        <w:spacing w:before="156" w:after="156"/>
        <w:ind w:firstLine="0" w:firstLineChars="0"/>
        <w:rPr>
          <w:rFonts w:cs="Times New Roman"/>
          <w:b/>
        </w:rPr>
      </w:pPr>
      <w:r>
        <w:rPr>
          <w:rFonts w:cs="Times New Roman"/>
          <w:b/>
        </w:rPr>
        <w:t>6.1.2</w:t>
      </w:r>
      <w:r>
        <w:rPr>
          <w:rFonts w:hint="eastAsia" w:cs="Times New Roman"/>
          <w:b/>
        </w:rPr>
        <w:t xml:space="preserve">  </w:t>
      </w:r>
      <w:r>
        <w:rPr>
          <w:rFonts w:cs="Times New Roman"/>
          <w:bCs/>
        </w:rPr>
        <w:t>建筑信息模型应由模型单元组成，交付全过程应以模型单元作为基本操作对象。</w:t>
      </w:r>
    </w:p>
    <w:p w14:paraId="752C7C13">
      <w:pPr>
        <w:spacing w:before="156" w:after="156"/>
        <w:ind w:firstLine="0" w:firstLineChars="0"/>
        <w:rPr>
          <w:rFonts w:cs="Times New Roman"/>
          <w:b/>
        </w:rPr>
      </w:pPr>
      <w:r>
        <w:rPr>
          <w:rFonts w:cs="Times New Roman"/>
          <w:b/>
        </w:rPr>
        <w:t>6.1.3</w:t>
      </w:r>
      <w:r>
        <w:rPr>
          <w:rFonts w:hint="eastAsia" w:cs="Times New Roman"/>
          <w:b/>
        </w:rPr>
        <w:t xml:space="preserve">  </w:t>
      </w:r>
      <w:r>
        <w:rPr>
          <w:rFonts w:cs="Times New Roman"/>
          <w:bCs/>
        </w:rPr>
        <w:t>模型单元应以几何信息和非几何信息描述工程对象的设计信息，可使用二维图形、文字、文档、多媒体等方式补充和增强表达设计信息。</w:t>
      </w:r>
    </w:p>
    <w:p w14:paraId="46A0C902">
      <w:pPr>
        <w:spacing w:before="156" w:after="156"/>
        <w:ind w:firstLine="0" w:firstLineChars="0"/>
        <w:rPr>
          <w:rFonts w:cs="Times New Roman"/>
          <w:b/>
        </w:rPr>
      </w:pPr>
      <w:r>
        <w:rPr>
          <w:rFonts w:cs="Times New Roman"/>
          <w:b/>
        </w:rPr>
        <w:t>6.1.4</w:t>
      </w:r>
      <w:r>
        <w:rPr>
          <w:rFonts w:hint="eastAsia" w:cs="Times New Roman"/>
          <w:b/>
        </w:rPr>
        <w:t xml:space="preserve">  </w:t>
      </w:r>
      <w:r>
        <w:rPr>
          <w:rFonts w:cs="Times New Roman"/>
          <w:bCs/>
        </w:rPr>
        <w:t>工程对象与数据、文档、三维模型等不同信息之间应建立关联关系。</w:t>
      </w:r>
    </w:p>
    <w:p w14:paraId="214C1EFB">
      <w:pPr>
        <w:spacing w:before="156" w:after="156"/>
        <w:ind w:firstLine="0" w:firstLineChars="0"/>
        <w:rPr>
          <w:rFonts w:cs="Times New Roman"/>
          <w:b/>
        </w:rPr>
      </w:pPr>
      <w:r>
        <w:rPr>
          <w:rFonts w:cs="Times New Roman"/>
          <w:b/>
        </w:rPr>
        <w:t>6.1.5</w:t>
      </w:r>
      <w:r>
        <w:rPr>
          <w:rFonts w:hint="eastAsia" w:cs="Times New Roman"/>
          <w:b/>
        </w:rPr>
        <w:t xml:space="preserve">  </w:t>
      </w:r>
      <w:r>
        <w:rPr>
          <w:rFonts w:cs="Times New Roman"/>
          <w:bCs/>
        </w:rPr>
        <w:t>交付内容还应包括信息来源、交付级别、专业类别和文档类别等信息。</w:t>
      </w:r>
    </w:p>
    <w:p w14:paraId="2EC65117">
      <w:pPr>
        <w:pStyle w:val="3"/>
        <w:spacing w:before="156" w:after="156"/>
        <w:ind w:firstLine="0" w:firstLineChars="0"/>
        <w:rPr>
          <w:rFonts w:cs="Times New Roman"/>
          <w:b w:val="0"/>
          <w:bCs w:val="0"/>
        </w:rPr>
      </w:pPr>
      <w:bookmarkStart w:id="55" w:name="_Toc11126"/>
      <w:bookmarkStart w:id="56" w:name="_Toc11385"/>
      <w:r>
        <w:rPr>
          <w:rFonts w:cs="Times New Roman"/>
        </w:rPr>
        <w:t>6.</w:t>
      </w:r>
      <w:r>
        <w:rPr>
          <w:rFonts w:hint="eastAsia" w:cs="Times New Roman"/>
        </w:rPr>
        <w:t xml:space="preserve">2  </w:t>
      </w:r>
      <w:r>
        <w:rPr>
          <w:rFonts w:cs="Times New Roman"/>
          <w:b w:val="0"/>
          <w:bCs w:val="0"/>
        </w:rPr>
        <w:t>勘察阶段交付物及要求</w:t>
      </w:r>
      <w:bookmarkEnd w:id="55"/>
      <w:bookmarkEnd w:id="56"/>
    </w:p>
    <w:p w14:paraId="0921BB5F">
      <w:pPr>
        <w:spacing w:before="156" w:after="156"/>
        <w:ind w:firstLine="0" w:firstLineChars="0"/>
        <w:rPr>
          <w:rFonts w:cs="Times New Roman"/>
        </w:rPr>
      </w:pPr>
      <w:r>
        <w:rPr>
          <w:rFonts w:cs="Times New Roman"/>
          <w:b/>
          <w:kern w:val="0"/>
          <w:lang w:val="zh-CN"/>
        </w:rPr>
        <w:t>6.</w:t>
      </w:r>
      <w:r>
        <w:rPr>
          <w:rFonts w:hint="eastAsia" w:cs="Times New Roman"/>
          <w:b/>
          <w:kern w:val="0"/>
        </w:rPr>
        <w:t>2</w:t>
      </w:r>
      <w:r>
        <w:rPr>
          <w:rFonts w:cs="Times New Roman"/>
          <w:b/>
          <w:kern w:val="0"/>
          <w:lang w:val="zh-CN"/>
        </w:rPr>
        <w:t>.1</w:t>
      </w:r>
      <w:r>
        <w:rPr>
          <w:rFonts w:hint="eastAsia" w:cs="Times New Roman"/>
          <w:b/>
          <w:kern w:val="0"/>
        </w:rPr>
        <w:t xml:space="preserve">  </w:t>
      </w:r>
      <w:r>
        <w:rPr>
          <w:rFonts w:hint="eastAsia" w:cs="Times New Roman"/>
          <w:lang w:eastAsia="zh-CN"/>
        </w:rPr>
        <w:t>勘察信息模型</w:t>
      </w:r>
      <w:r>
        <w:rPr>
          <w:rFonts w:cs="Times New Roman"/>
        </w:rPr>
        <w:t>包括地表及地下设施信息模型、岩土工程勘察信息模型和岩土工程设计信息模型。</w:t>
      </w:r>
    </w:p>
    <w:p w14:paraId="6E1DEF78">
      <w:pPr>
        <w:spacing w:before="156" w:after="156"/>
        <w:ind w:firstLine="0" w:firstLineChars="0"/>
        <w:rPr>
          <w:rFonts w:cs="Times New Roman"/>
        </w:rPr>
      </w:pPr>
      <w:r>
        <w:rPr>
          <w:rFonts w:cs="Times New Roman"/>
          <w:b/>
          <w:kern w:val="0"/>
          <w:lang w:val="zh-CN"/>
        </w:rPr>
        <w:t>6.</w:t>
      </w:r>
      <w:r>
        <w:rPr>
          <w:rFonts w:hint="eastAsia" w:cs="Times New Roman"/>
          <w:b/>
          <w:kern w:val="0"/>
        </w:rPr>
        <w:t>2</w:t>
      </w:r>
      <w:r>
        <w:rPr>
          <w:rFonts w:cs="Times New Roman"/>
          <w:b/>
          <w:kern w:val="0"/>
          <w:lang w:val="zh-CN"/>
        </w:rPr>
        <w:t>.</w:t>
      </w:r>
      <w:r>
        <w:rPr>
          <w:rFonts w:cs="Times New Roman"/>
          <w:b/>
          <w:kern w:val="0"/>
        </w:rPr>
        <w:t>2</w:t>
      </w:r>
      <w:r>
        <w:rPr>
          <w:rFonts w:hint="eastAsia" w:cs="Times New Roman"/>
          <w:b/>
          <w:kern w:val="0"/>
        </w:rPr>
        <w:t xml:space="preserve">  </w:t>
      </w:r>
      <w:r>
        <w:rPr>
          <w:rFonts w:hint="eastAsia" w:cs="Times New Roman"/>
          <w:lang w:eastAsia="zh-CN"/>
        </w:rPr>
        <w:t>勘察信息模型</w:t>
      </w:r>
      <w:r>
        <w:rPr>
          <w:rFonts w:cs="Times New Roman"/>
        </w:rPr>
        <w:t>采用的原始数据应符合相关标准规定，模型的范围和精细度应满足相应工程阶段应用的需要。</w:t>
      </w:r>
    </w:p>
    <w:p w14:paraId="0D78C522">
      <w:pPr>
        <w:spacing w:before="156" w:after="156"/>
        <w:ind w:firstLine="0" w:firstLineChars="0"/>
        <w:rPr>
          <w:rFonts w:cs="Times New Roman"/>
        </w:rPr>
      </w:pPr>
      <w:r>
        <w:rPr>
          <w:rFonts w:cs="Times New Roman"/>
          <w:b/>
          <w:kern w:val="0"/>
          <w:lang w:val="zh-CN"/>
        </w:rPr>
        <w:t>6.</w:t>
      </w:r>
      <w:r>
        <w:rPr>
          <w:rFonts w:hint="eastAsia" w:cs="Times New Roman"/>
          <w:b/>
          <w:kern w:val="0"/>
        </w:rPr>
        <w:t>2</w:t>
      </w:r>
      <w:r>
        <w:rPr>
          <w:rFonts w:cs="Times New Roman"/>
          <w:b/>
          <w:kern w:val="0"/>
          <w:lang w:val="zh-CN"/>
        </w:rPr>
        <w:t>.</w:t>
      </w:r>
      <w:r>
        <w:rPr>
          <w:rFonts w:cs="Times New Roman"/>
          <w:b/>
          <w:kern w:val="0"/>
        </w:rPr>
        <w:t>3</w:t>
      </w:r>
      <w:r>
        <w:rPr>
          <w:rFonts w:hint="eastAsia" w:cs="Times New Roman"/>
          <w:b/>
          <w:kern w:val="0"/>
        </w:rPr>
        <w:t xml:space="preserve">  </w:t>
      </w:r>
      <w:r>
        <w:rPr>
          <w:rFonts w:hint="eastAsia" w:cs="Times New Roman"/>
          <w:lang w:eastAsia="zh-CN"/>
        </w:rPr>
        <w:t>勘察信息模型</w:t>
      </w:r>
      <w:r>
        <w:rPr>
          <w:rFonts w:cs="Times New Roman"/>
        </w:rPr>
        <w:t>应由几何信息和</w:t>
      </w:r>
      <w:r>
        <w:rPr>
          <w:rFonts w:hint="eastAsia" w:cs="Times New Roman"/>
          <w:lang w:val="en-US" w:eastAsia="zh-CN"/>
        </w:rPr>
        <w:t>非几何</w:t>
      </w:r>
      <w:r>
        <w:rPr>
          <w:rFonts w:cs="Times New Roman"/>
        </w:rPr>
        <w:t>信息两个信息维度进行描述，并应符合下列规定：</w:t>
      </w:r>
    </w:p>
    <w:p w14:paraId="6D2F6A9D">
      <w:pPr>
        <w:spacing w:before="156" w:after="156"/>
        <w:ind w:firstLine="482"/>
        <w:rPr>
          <w:rFonts w:hint="eastAsia" w:eastAsia="宋体" w:cs="Times New Roman"/>
          <w:lang w:eastAsia="zh-CN"/>
        </w:rPr>
      </w:pPr>
      <w:r>
        <w:rPr>
          <w:rFonts w:cs="Times New Roman"/>
          <w:b/>
          <w:kern w:val="0"/>
          <w:lang w:val="zh-CN"/>
        </w:rPr>
        <w:t>1</w:t>
      </w:r>
      <w:r>
        <w:rPr>
          <w:rFonts w:hint="eastAsia" w:cs="Times New Roman"/>
          <w:b/>
          <w:kern w:val="0"/>
        </w:rPr>
        <w:t xml:space="preserve">  </w:t>
      </w:r>
      <w:r>
        <w:rPr>
          <w:rFonts w:cs="Times New Roman"/>
        </w:rPr>
        <w:t>模型</w:t>
      </w:r>
      <w:r>
        <w:rPr>
          <w:rFonts w:hint="eastAsia" w:cs="Times New Roman"/>
          <w:lang w:val="en-US" w:eastAsia="zh-CN"/>
        </w:rPr>
        <w:t>非几何</w:t>
      </w:r>
      <w:r>
        <w:rPr>
          <w:rFonts w:cs="Times New Roman"/>
        </w:rPr>
        <w:t>信息宜在其几何信息建模时同步创建</w:t>
      </w:r>
      <w:r>
        <w:rPr>
          <w:rFonts w:hint="eastAsia" w:cs="Times New Roman"/>
          <w:lang w:val="en-US" w:eastAsia="zh-CN"/>
        </w:rPr>
        <w:t>。</w:t>
      </w:r>
    </w:p>
    <w:p w14:paraId="4F19EAE4">
      <w:pPr>
        <w:spacing w:before="156" w:after="156"/>
        <w:ind w:firstLine="482"/>
        <w:rPr>
          <w:rFonts w:hint="eastAsia" w:eastAsia="宋体" w:cs="Times New Roman"/>
          <w:lang w:eastAsia="zh-CN"/>
        </w:rPr>
      </w:pPr>
      <w:r>
        <w:rPr>
          <w:rFonts w:cs="Times New Roman"/>
          <w:b/>
          <w:kern w:val="0"/>
          <w:lang w:val="zh-CN"/>
        </w:rPr>
        <w:t>2</w:t>
      </w:r>
      <w:r>
        <w:rPr>
          <w:rFonts w:hint="eastAsia" w:cs="Times New Roman"/>
          <w:b/>
          <w:kern w:val="0"/>
        </w:rPr>
        <w:t xml:space="preserve">  </w:t>
      </w:r>
      <w:r>
        <w:rPr>
          <w:rFonts w:cs="Times New Roman"/>
        </w:rPr>
        <w:t>模型</w:t>
      </w:r>
      <w:r>
        <w:rPr>
          <w:rFonts w:hint="eastAsia" w:cs="Times New Roman"/>
          <w:lang w:val="en-US" w:eastAsia="zh-CN"/>
        </w:rPr>
        <w:t>非几何</w:t>
      </w:r>
      <w:r>
        <w:rPr>
          <w:rFonts w:cs="Times New Roman"/>
        </w:rPr>
        <w:t>信息应分类设置为项目信息、定位信息和技术信息三类</w:t>
      </w:r>
      <w:r>
        <w:rPr>
          <w:rFonts w:hint="eastAsia" w:cs="Times New Roman"/>
          <w:lang w:eastAsia="zh-CN"/>
        </w:rPr>
        <w:t>。</w:t>
      </w:r>
    </w:p>
    <w:p w14:paraId="30550F5C">
      <w:pPr>
        <w:spacing w:before="156" w:after="156"/>
        <w:ind w:firstLine="482"/>
        <w:rPr>
          <w:rFonts w:cs="Times New Roman"/>
        </w:rPr>
      </w:pPr>
      <w:r>
        <w:rPr>
          <w:rFonts w:cs="Times New Roman"/>
          <w:b/>
          <w:kern w:val="0"/>
          <w:lang w:val="zh-CN"/>
        </w:rPr>
        <w:t>3</w:t>
      </w:r>
      <w:r>
        <w:rPr>
          <w:rFonts w:hint="eastAsia" w:cs="Times New Roman"/>
          <w:b/>
          <w:kern w:val="0"/>
        </w:rPr>
        <w:t xml:space="preserve">  </w:t>
      </w:r>
      <w:r>
        <w:rPr>
          <w:rFonts w:cs="Times New Roman"/>
        </w:rPr>
        <w:t>当模型几何信息与</w:t>
      </w:r>
      <w:r>
        <w:rPr>
          <w:rFonts w:hint="eastAsia" w:cs="Times New Roman"/>
          <w:lang w:val="en-US" w:eastAsia="zh-CN"/>
        </w:rPr>
        <w:t>非几何</w:t>
      </w:r>
      <w:r>
        <w:rPr>
          <w:rFonts w:cs="Times New Roman"/>
        </w:rPr>
        <w:t>信息不一致时，应优先采用</w:t>
      </w:r>
      <w:r>
        <w:rPr>
          <w:rFonts w:hint="eastAsia" w:cs="Times New Roman"/>
          <w:lang w:val="en-US" w:eastAsia="zh-CN"/>
        </w:rPr>
        <w:t>非几何</w:t>
      </w:r>
      <w:r>
        <w:rPr>
          <w:rFonts w:cs="Times New Roman"/>
        </w:rPr>
        <w:t>信息。</w:t>
      </w:r>
    </w:p>
    <w:p w14:paraId="4A3B10CA">
      <w:pPr>
        <w:spacing w:before="156" w:after="156"/>
        <w:ind w:firstLine="0" w:firstLineChars="0"/>
        <w:rPr>
          <w:rFonts w:cs="Times New Roman"/>
        </w:rPr>
      </w:pPr>
      <w:r>
        <w:rPr>
          <w:rFonts w:cs="Times New Roman"/>
          <w:b/>
        </w:rPr>
        <w:t>6.</w:t>
      </w:r>
      <w:r>
        <w:rPr>
          <w:rFonts w:hint="eastAsia" w:cs="Times New Roman"/>
          <w:b/>
        </w:rPr>
        <w:t>2</w:t>
      </w:r>
      <w:r>
        <w:rPr>
          <w:rFonts w:cs="Times New Roman"/>
          <w:b/>
        </w:rPr>
        <w:t>.4</w:t>
      </w:r>
      <w:r>
        <w:rPr>
          <w:rFonts w:hint="eastAsia" w:cs="Times New Roman"/>
          <w:b/>
        </w:rPr>
        <w:t xml:space="preserve">  </w:t>
      </w:r>
      <w:r>
        <w:rPr>
          <w:rFonts w:cs="Times New Roman"/>
        </w:rPr>
        <w:t>勘察信息模型交付物应包括勘察信息模型执行计划、模型、模型说明书</w:t>
      </w:r>
      <w:r>
        <w:rPr>
          <w:rFonts w:hint="eastAsia" w:cs="Times New Roman"/>
          <w:lang w:val="en-US" w:eastAsia="zh-CN"/>
        </w:rPr>
        <w:t>及</w:t>
      </w:r>
      <w:r>
        <w:rPr>
          <w:rFonts w:cs="Times New Roman"/>
        </w:rPr>
        <w:t>勘测报告。勘测报告可分为工程测量报告、管线物探报告和勘察报告。</w:t>
      </w:r>
    </w:p>
    <w:p w14:paraId="57000374">
      <w:pPr>
        <w:spacing w:before="156" w:after="156"/>
        <w:ind w:firstLine="0" w:firstLineChars="0"/>
        <w:rPr>
          <w:rFonts w:cs="Times New Roman"/>
        </w:rPr>
      </w:pPr>
      <w:r>
        <w:rPr>
          <w:rFonts w:cs="Times New Roman"/>
          <w:b/>
          <w:kern w:val="0"/>
          <w:lang w:val="zh-CN"/>
        </w:rPr>
        <w:t>6.</w:t>
      </w:r>
      <w:r>
        <w:rPr>
          <w:rFonts w:hint="eastAsia" w:cs="Times New Roman"/>
          <w:b/>
          <w:kern w:val="0"/>
        </w:rPr>
        <w:t>2</w:t>
      </w:r>
      <w:r>
        <w:rPr>
          <w:rFonts w:cs="Times New Roman"/>
          <w:b/>
          <w:kern w:val="0"/>
          <w:lang w:val="zh-CN"/>
        </w:rPr>
        <w:t>.</w:t>
      </w:r>
      <w:r>
        <w:rPr>
          <w:rFonts w:cs="Times New Roman"/>
          <w:b/>
          <w:kern w:val="0"/>
        </w:rPr>
        <w:t>5</w:t>
      </w:r>
      <w:r>
        <w:rPr>
          <w:rFonts w:hint="eastAsia" w:cs="Times New Roman"/>
          <w:b/>
          <w:kern w:val="0"/>
        </w:rPr>
        <w:t xml:space="preserve">  </w:t>
      </w:r>
      <w:r>
        <w:rPr>
          <w:rFonts w:cs="Times New Roman"/>
        </w:rPr>
        <w:t>工程勘察阶段导入模型的数据，应满足勘察测绘要求。采用不同表达方式的模型数据分类和编码应具有一致性和唯一性。</w:t>
      </w:r>
    </w:p>
    <w:p w14:paraId="36914C76">
      <w:pPr>
        <w:spacing w:before="156" w:after="156"/>
        <w:ind w:firstLine="0" w:firstLineChars="0"/>
        <w:rPr>
          <w:rFonts w:cs="Times New Roman"/>
          <w:b/>
          <w:kern w:val="0"/>
        </w:rPr>
      </w:pPr>
      <w:r>
        <w:rPr>
          <w:rFonts w:hint="eastAsia" w:cs="Times New Roman"/>
          <w:b/>
          <w:kern w:val="0"/>
        </w:rPr>
        <w:t xml:space="preserve">6.2.6  </w:t>
      </w:r>
      <w:r>
        <w:rPr>
          <w:rFonts w:cs="Times New Roman"/>
          <w:bCs/>
        </w:rPr>
        <w:t>交付物应符合</w:t>
      </w:r>
      <w:r>
        <w:rPr>
          <w:rFonts w:hint="eastAsia" w:cs="Times New Roman"/>
          <w:bCs/>
        </w:rPr>
        <w:t>青岛市</w:t>
      </w:r>
      <w:r>
        <w:rPr>
          <w:rFonts w:cs="Times New Roman"/>
          <w:bCs/>
        </w:rPr>
        <w:t>数字化</w:t>
      </w:r>
      <w:r>
        <w:rPr>
          <w:rFonts w:hint="eastAsia" w:cs="Times New Roman"/>
          <w:bCs/>
        </w:rPr>
        <w:t>工程勘察</w:t>
      </w:r>
      <w:r>
        <w:rPr>
          <w:rFonts w:cs="Times New Roman"/>
          <w:bCs/>
        </w:rPr>
        <w:t>的要求，详见附录A</w:t>
      </w:r>
      <w:r>
        <w:rPr>
          <w:rFonts w:hint="eastAsia" w:cs="Times New Roman"/>
          <w:bCs/>
        </w:rPr>
        <w:t>.1勘察</w:t>
      </w:r>
      <w:r>
        <w:rPr>
          <w:rFonts w:cs="Times New Roman"/>
          <w:bCs/>
        </w:rPr>
        <w:t>阶段交付物要求。</w:t>
      </w:r>
    </w:p>
    <w:p w14:paraId="7F2F241A">
      <w:pPr>
        <w:pStyle w:val="3"/>
        <w:spacing w:before="156" w:after="156"/>
        <w:ind w:firstLine="0" w:firstLineChars="0"/>
        <w:rPr>
          <w:rFonts w:cs="Times New Roman"/>
          <w:b w:val="0"/>
          <w:bCs w:val="0"/>
        </w:rPr>
      </w:pPr>
      <w:bookmarkStart w:id="57" w:name="_Toc18562"/>
      <w:bookmarkStart w:id="58" w:name="_Toc7159"/>
      <w:r>
        <w:rPr>
          <w:rFonts w:cs="Times New Roman"/>
        </w:rPr>
        <w:t>6.</w:t>
      </w:r>
      <w:r>
        <w:rPr>
          <w:rFonts w:hint="eastAsia" w:cs="Times New Roman"/>
        </w:rPr>
        <w:t xml:space="preserve">3  </w:t>
      </w:r>
      <w:r>
        <w:rPr>
          <w:rFonts w:cs="Times New Roman"/>
          <w:b w:val="0"/>
          <w:bCs w:val="0"/>
        </w:rPr>
        <w:t>设计阶段交付物及要求</w:t>
      </w:r>
      <w:bookmarkEnd w:id="57"/>
      <w:bookmarkEnd w:id="58"/>
    </w:p>
    <w:p w14:paraId="4E890676">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3</w:t>
      </w:r>
      <w:r>
        <w:rPr>
          <w:rFonts w:ascii="Times New Roman" w:hAnsi="Times New Roman" w:cs="Times New Roman"/>
          <w:b/>
          <w:sz w:val="24"/>
          <w:szCs w:val="22"/>
        </w:rPr>
        <w:t>.1</w:t>
      </w:r>
      <w:r>
        <w:rPr>
          <w:rFonts w:hint="eastAsia" w:ascii="Times New Roman" w:hAnsi="Times New Roman" w:cs="Times New Roman"/>
          <w:b/>
          <w:sz w:val="24"/>
          <w:szCs w:val="22"/>
        </w:rPr>
        <w:t xml:space="preserve">  </w:t>
      </w:r>
      <w:r>
        <w:rPr>
          <w:rFonts w:ascii="Times New Roman" w:hAnsi="Times New Roman" w:cs="Times New Roman"/>
          <w:sz w:val="24"/>
          <w:szCs w:val="22"/>
        </w:rPr>
        <w:t>模型交付前应确定模型的交付深度、交付物形式、交付协同要求。</w:t>
      </w:r>
    </w:p>
    <w:p w14:paraId="79C9B102">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3</w:t>
      </w:r>
      <w:r>
        <w:rPr>
          <w:rFonts w:ascii="Times New Roman" w:hAnsi="Times New Roman" w:cs="Times New Roman"/>
          <w:b/>
          <w:sz w:val="24"/>
          <w:szCs w:val="22"/>
        </w:rPr>
        <w:t>.2</w:t>
      </w:r>
      <w:r>
        <w:rPr>
          <w:rFonts w:hint="eastAsia" w:ascii="Times New Roman" w:hAnsi="Times New Roman" w:cs="Times New Roman"/>
          <w:b/>
          <w:sz w:val="24"/>
          <w:szCs w:val="22"/>
        </w:rPr>
        <w:t xml:space="preserve">  </w:t>
      </w:r>
      <w:r>
        <w:rPr>
          <w:rFonts w:ascii="Times New Roman" w:hAnsi="Times New Roman" w:cs="Times New Roman"/>
          <w:sz w:val="24"/>
          <w:szCs w:val="22"/>
        </w:rPr>
        <w:t>各专业模型应与相应的专业图纸保持一致，交付单位应进行模型与图纸的一致性检查，并对准确性负责。</w:t>
      </w:r>
    </w:p>
    <w:p w14:paraId="49989941">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3</w:t>
      </w:r>
      <w:r>
        <w:rPr>
          <w:rFonts w:ascii="Times New Roman" w:hAnsi="Times New Roman" w:cs="Times New Roman"/>
          <w:b/>
          <w:sz w:val="24"/>
          <w:szCs w:val="22"/>
        </w:rPr>
        <w:t>.3</w:t>
      </w:r>
      <w:r>
        <w:rPr>
          <w:rFonts w:hint="eastAsia" w:ascii="Times New Roman" w:hAnsi="Times New Roman" w:cs="Times New Roman"/>
          <w:b/>
          <w:sz w:val="24"/>
          <w:szCs w:val="22"/>
        </w:rPr>
        <w:t xml:space="preserve">  </w:t>
      </w:r>
      <w:r>
        <w:rPr>
          <w:rFonts w:ascii="Times New Roman" w:hAnsi="Times New Roman" w:cs="Times New Roman"/>
          <w:sz w:val="24"/>
          <w:szCs w:val="22"/>
        </w:rPr>
        <w:t>设计阶段BIM模型应根据工程项目的应用需求，选择</w:t>
      </w:r>
      <w:r>
        <w:rPr>
          <w:rFonts w:hint="eastAsia" w:ascii="Times New Roman" w:hAnsi="Times New Roman" w:cs="Times New Roman"/>
          <w:sz w:val="24"/>
          <w:szCs w:val="22"/>
          <w:lang w:eastAsia="zh-CN"/>
        </w:rPr>
        <w:t>模型细度</w:t>
      </w:r>
      <w:r>
        <w:rPr>
          <w:rFonts w:ascii="Times New Roman" w:hAnsi="Times New Roman" w:cs="Times New Roman"/>
          <w:sz w:val="24"/>
          <w:szCs w:val="22"/>
        </w:rPr>
        <w:t>基本等级，并可在基本等级之间扩充</w:t>
      </w:r>
      <w:r>
        <w:rPr>
          <w:rFonts w:hint="eastAsia" w:ascii="Times New Roman" w:hAnsi="Times New Roman" w:cs="Times New Roman"/>
          <w:sz w:val="24"/>
          <w:szCs w:val="22"/>
          <w:lang w:eastAsia="zh-CN"/>
        </w:rPr>
        <w:t>模型细度</w:t>
      </w:r>
      <w:r>
        <w:rPr>
          <w:rFonts w:ascii="Times New Roman" w:hAnsi="Times New Roman" w:cs="Times New Roman"/>
          <w:sz w:val="24"/>
          <w:szCs w:val="22"/>
        </w:rPr>
        <w:t>等级。</w:t>
      </w:r>
    </w:p>
    <w:p w14:paraId="7E3C3271">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3</w:t>
      </w:r>
      <w:r>
        <w:rPr>
          <w:rFonts w:ascii="Times New Roman" w:hAnsi="Times New Roman" w:cs="Times New Roman"/>
          <w:b/>
          <w:sz w:val="24"/>
          <w:szCs w:val="22"/>
        </w:rPr>
        <w:t>.4</w:t>
      </w:r>
      <w:r>
        <w:rPr>
          <w:rFonts w:hint="eastAsia" w:ascii="Times New Roman" w:hAnsi="Times New Roman" w:cs="Times New Roman"/>
          <w:b/>
          <w:sz w:val="24"/>
          <w:szCs w:val="22"/>
        </w:rPr>
        <w:t xml:space="preserve">  </w:t>
      </w:r>
      <w:r>
        <w:rPr>
          <w:rFonts w:ascii="Times New Roman" w:hAnsi="Times New Roman" w:cs="Times New Roman"/>
          <w:sz w:val="24"/>
          <w:szCs w:val="22"/>
        </w:rPr>
        <w:t>开展设计阶段BIM应用，建筑、结构、电气、给排水、暖通等主要专业宜同步参与，装饰装修工程、园林景观工程和幕墙工程等专业按需求参与。</w:t>
      </w:r>
    </w:p>
    <w:p w14:paraId="66682577">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3</w:t>
      </w:r>
      <w:r>
        <w:rPr>
          <w:rFonts w:ascii="Times New Roman" w:hAnsi="Times New Roman" w:cs="Times New Roman"/>
          <w:b/>
          <w:sz w:val="24"/>
          <w:szCs w:val="22"/>
        </w:rPr>
        <w:t>.5</w:t>
      </w:r>
      <w:r>
        <w:rPr>
          <w:rFonts w:hint="eastAsia" w:ascii="Times New Roman" w:hAnsi="Times New Roman" w:cs="Times New Roman"/>
          <w:b/>
          <w:sz w:val="24"/>
          <w:szCs w:val="22"/>
        </w:rPr>
        <w:t xml:space="preserve">  </w:t>
      </w:r>
      <w:r>
        <w:rPr>
          <w:rFonts w:ascii="Times New Roman" w:hAnsi="Times New Roman" w:cs="Times New Roman"/>
          <w:sz w:val="24"/>
          <w:szCs w:val="22"/>
        </w:rPr>
        <w:t>建筑工程设计阶段BIM应用应采用集成化或支持通用数据格式的BIM软件。</w:t>
      </w:r>
    </w:p>
    <w:p w14:paraId="44722F5B">
      <w:pPr>
        <w:pStyle w:val="8"/>
        <w:spacing w:before="156" w:beforeLines="50" w:after="156" w:afterLines="50" w:line="360" w:lineRule="auto"/>
        <w:ind w:left="6"/>
        <w:rPr>
          <w:rFonts w:ascii="Times New Roman" w:hAnsi="Times New Roman" w:cs="Times New Roman"/>
          <w:b w:val="0"/>
          <w:bCs/>
          <w:sz w:val="24"/>
          <w:szCs w:val="22"/>
        </w:rPr>
      </w:pPr>
      <w:r>
        <w:rPr>
          <w:rFonts w:ascii="Times New Roman" w:hAnsi="Times New Roman" w:cs="Times New Roman"/>
          <w:b/>
          <w:bCs w:val="0"/>
          <w:sz w:val="24"/>
          <w:szCs w:val="22"/>
        </w:rPr>
        <w:t>6.</w:t>
      </w:r>
      <w:r>
        <w:rPr>
          <w:rFonts w:hint="eastAsia" w:ascii="Times New Roman" w:hAnsi="Times New Roman" w:cs="Times New Roman"/>
          <w:b/>
          <w:bCs w:val="0"/>
          <w:sz w:val="24"/>
          <w:szCs w:val="22"/>
        </w:rPr>
        <w:t>3</w:t>
      </w:r>
      <w:r>
        <w:rPr>
          <w:rFonts w:ascii="Times New Roman" w:hAnsi="Times New Roman" w:cs="Times New Roman"/>
          <w:b/>
          <w:bCs w:val="0"/>
          <w:sz w:val="24"/>
          <w:szCs w:val="22"/>
        </w:rPr>
        <w:t>.6</w:t>
      </w:r>
      <w:r>
        <w:rPr>
          <w:rFonts w:hint="eastAsia" w:ascii="Times New Roman" w:hAnsi="Times New Roman" w:cs="Times New Roman"/>
          <w:b w:val="0"/>
          <w:bCs/>
          <w:sz w:val="24"/>
          <w:szCs w:val="22"/>
        </w:rPr>
        <w:t xml:space="preserve">  </w:t>
      </w:r>
      <w:r>
        <w:rPr>
          <w:rFonts w:ascii="Times New Roman" w:hAnsi="Times New Roman" w:cs="Times New Roman"/>
          <w:b w:val="0"/>
          <w:bCs/>
          <w:sz w:val="24"/>
          <w:szCs w:val="22"/>
        </w:rPr>
        <w:t>建筑工程设计阶段BIM交付物宜充分考虑施工阶段和运维阶段的应用需求</w:t>
      </w:r>
      <w:r>
        <w:rPr>
          <w:rFonts w:hint="eastAsia" w:ascii="Times New Roman" w:hAnsi="Times New Roman" w:cs="Times New Roman"/>
          <w:b w:val="0"/>
          <w:bCs/>
          <w:sz w:val="24"/>
          <w:szCs w:val="22"/>
        </w:rPr>
        <w:t>，确保交付图纸与交付模型的图模一致。</w:t>
      </w:r>
    </w:p>
    <w:p w14:paraId="6B8F89D3">
      <w:pPr>
        <w:pStyle w:val="8"/>
        <w:spacing w:before="156" w:beforeLines="50" w:after="156" w:afterLines="50" w:line="360" w:lineRule="auto"/>
        <w:ind w:left="6"/>
        <w:rPr>
          <w:rFonts w:ascii="Times New Roman" w:hAnsi="Times New Roman" w:cs="Times New Roman"/>
          <w:b w:val="0"/>
          <w:bCs/>
          <w:sz w:val="24"/>
          <w:szCs w:val="22"/>
        </w:rPr>
      </w:pPr>
      <w:r>
        <w:rPr>
          <w:rFonts w:ascii="Times New Roman" w:hAnsi="Times New Roman" w:cs="Times New Roman"/>
          <w:b/>
          <w:bCs w:val="0"/>
          <w:sz w:val="24"/>
          <w:szCs w:val="22"/>
        </w:rPr>
        <w:t>6.</w:t>
      </w:r>
      <w:r>
        <w:rPr>
          <w:rFonts w:hint="eastAsia" w:ascii="Times New Roman" w:hAnsi="Times New Roman" w:cs="Times New Roman"/>
          <w:b/>
          <w:bCs w:val="0"/>
          <w:sz w:val="24"/>
          <w:szCs w:val="22"/>
        </w:rPr>
        <w:t>3</w:t>
      </w:r>
      <w:r>
        <w:rPr>
          <w:rFonts w:ascii="Times New Roman" w:hAnsi="Times New Roman" w:cs="Times New Roman"/>
          <w:b/>
          <w:bCs w:val="0"/>
          <w:sz w:val="24"/>
          <w:szCs w:val="22"/>
        </w:rPr>
        <w:t>.7</w:t>
      </w:r>
      <w:r>
        <w:rPr>
          <w:rFonts w:hint="eastAsia" w:ascii="Times New Roman" w:hAnsi="Times New Roman" w:cs="Times New Roman"/>
          <w:b/>
          <w:bCs w:val="0"/>
          <w:sz w:val="24"/>
          <w:szCs w:val="22"/>
        </w:rPr>
        <w:t xml:space="preserve"> </w:t>
      </w:r>
      <w:r>
        <w:rPr>
          <w:rFonts w:hint="eastAsia" w:ascii="Times New Roman" w:hAnsi="Times New Roman" w:cs="Times New Roman"/>
          <w:b w:val="0"/>
          <w:bCs/>
          <w:sz w:val="24"/>
          <w:szCs w:val="22"/>
        </w:rPr>
        <w:t xml:space="preserve"> </w:t>
      </w:r>
      <w:r>
        <w:rPr>
          <w:rFonts w:ascii="Times New Roman" w:hAnsi="Times New Roman" w:cs="Times New Roman"/>
          <w:b w:val="0"/>
          <w:bCs/>
          <w:sz w:val="24"/>
          <w:szCs w:val="22"/>
        </w:rPr>
        <w:t>建筑工程设计阶段BIM交付物应符合</w:t>
      </w:r>
      <w:r>
        <w:rPr>
          <w:rFonts w:hint="eastAsia" w:ascii="Times New Roman" w:hAnsi="Times New Roman" w:cs="Times New Roman"/>
          <w:b w:val="0"/>
          <w:bCs/>
          <w:sz w:val="24"/>
          <w:szCs w:val="22"/>
        </w:rPr>
        <w:t>青岛市</w:t>
      </w:r>
      <w:r>
        <w:rPr>
          <w:rFonts w:ascii="Times New Roman" w:hAnsi="Times New Roman" w:cs="Times New Roman"/>
          <w:b w:val="0"/>
          <w:bCs/>
          <w:sz w:val="24"/>
          <w:szCs w:val="22"/>
        </w:rPr>
        <w:t>数字化审图、</w:t>
      </w:r>
      <w:r>
        <w:rPr>
          <w:rFonts w:hint="eastAsia" w:ascii="Times New Roman" w:hAnsi="Times New Roman" w:cs="Times New Roman"/>
          <w:b w:val="0"/>
          <w:bCs/>
          <w:sz w:val="24"/>
          <w:szCs w:val="22"/>
        </w:rPr>
        <w:t>数字化</w:t>
      </w:r>
      <w:r>
        <w:rPr>
          <w:rFonts w:ascii="Times New Roman" w:hAnsi="Times New Roman" w:cs="Times New Roman"/>
          <w:b w:val="0"/>
          <w:bCs/>
          <w:sz w:val="24"/>
          <w:szCs w:val="22"/>
        </w:rPr>
        <w:t>交付的</w:t>
      </w:r>
      <w:r>
        <w:rPr>
          <w:rFonts w:hint="eastAsia" w:ascii="Times New Roman" w:hAnsi="Times New Roman" w:cs="Times New Roman"/>
          <w:b w:val="0"/>
          <w:bCs/>
          <w:sz w:val="24"/>
          <w:szCs w:val="22"/>
        </w:rPr>
        <w:t>要求，</w:t>
      </w:r>
      <w:r>
        <w:rPr>
          <w:rFonts w:ascii="Times New Roman" w:hAnsi="Times New Roman" w:cs="Times New Roman"/>
          <w:b w:val="0"/>
          <w:bCs/>
          <w:sz w:val="24"/>
          <w:szCs w:val="22"/>
        </w:rPr>
        <w:t>详见附录A</w:t>
      </w:r>
      <w:r>
        <w:rPr>
          <w:rFonts w:hint="eastAsia" w:ascii="Times New Roman" w:hAnsi="Times New Roman" w:cs="Times New Roman"/>
          <w:b w:val="0"/>
          <w:bCs/>
          <w:sz w:val="24"/>
          <w:szCs w:val="22"/>
        </w:rPr>
        <w:t>.2</w:t>
      </w:r>
      <w:r>
        <w:rPr>
          <w:rFonts w:ascii="Times New Roman" w:hAnsi="Times New Roman" w:cs="Times New Roman"/>
          <w:b w:val="0"/>
          <w:bCs/>
          <w:sz w:val="24"/>
          <w:szCs w:val="22"/>
        </w:rPr>
        <w:t>设计阶段交付物要求。</w:t>
      </w:r>
    </w:p>
    <w:p w14:paraId="7CA766B3">
      <w:pPr>
        <w:pStyle w:val="8"/>
        <w:spacing w:before="156" w:beforeLines="50" w:after="156" w:afterLines="50" w:line="360" w:lineRule="auto"/>
        <w:ind w:left="6"/>
        <w:rPr>
          <w:rFonts w:ascii="Times New Roman" w:hAnsi="Times New Roman" w:cs="Times New Roman"/>
          <w:b w:val="0"/>
          <w:bCs/>
          <w:sz w:val="24"/>
          <w:szCs w:val="22"/>
        </w:rPr>
      </w:pPr>
    </w:p>
    <w:p w14:paraId="3D1BD564">
      <w:pPr>
        <w:pStyle w:val="3"/>
        <w:spacing w:before="156" w:after="156"/>
        <w:ind w:firstLine="0" w:firstLineChars="0"/>
        <w:rPr>
          <w:rFonts w:cs="Times New Roman"/>
          <w:b w:val="0"/>
          <w:bCs w:val="0"/>
        </w:rPr>
      </w:pPr>
      <w:bookmarkStart w:id="59" w:name="_Toc14268"/>
      <w:bookmarkStart w:id="60" w:name="_Toc21769"/>
      <w:r>
        <w:rPr>
          <w:rFonts w:cs="Times New Roman"/>
        </w:rPr>
        <w:t>6.</w:t>
      </w:r>
      <w:r>
        <w:rPr>
          <w:rFonts w:hint="eastAsia" w:cs="Times New Roman"/>
        </w:rPr>
        <w:t xml:space="preserve">4  </w:t>
      </w:r>
      <w:r>
        <w:rPr>
          <w:rFonts w:cs="Times New Roman"/>
          <w:b w:val="0"/>
          <w:bCs w:val="0"/>
        </w:rPr>
        <w:t>施工阶段交付物及要求</w:t>
      </w:r>
      <w:bookmarkEnd w:id="59"/>
      <w:bookmarkEnd w:id="60"/>
    </w:p>
    <w:p w14:paraId="6FD63A9C">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4</w:t>
      </w:r>
      <w:r>
        <w:rPr>
          <w:rFonts w:ascii="Times New Roman" w:hAnsi="Times New Roman" w:cs="Times New Roman"/>
          <w:b/>
          <w:sz w:val="24"/>
          <w:szCs w:val="22"/>
        </w:rPr>
        <w:t>.1</w:t>
      </w:r>
      <w:r>
        <w:rPr>
          <w:rFonts w:hint="eastAsia" w:ascii="Times New Roman" w:hAnsi="Times New Roman" w:cs="Times New Roman"/>
          <w:b/>
          <w:sz w:val="24"/>
          <w:szCs w:val="22"/>
        </w:rPr>
        <w:t xml:space="preserve">  </w:t>
      </w:r>
      <w:r>
        <w:rPr>
          <w:rFonts w:ascii="Times New Roman" w:hAnsi="Times New Roman" w:cs="Times New Roman"/>
          <w:sz w:val="24"/>
          <w:szCs w:val="22"/>
        </w:rPr>
        <w:t>竣工模型应与竣工图纸保持一致，提交单位应进行模型与图纸的一致性检查，并对准确性负责。</w:t>
      </w:r>
    </w:p>
    <w:p w14:paraId="08937859">
      <w:pPr>
        <w:pStyle w:val="8"/>
        <w:shd w:val="clear" w:color="auto"/>
        <w:spacing w:before="156" w:beforeLines="50" w:after="156" w:afterLines="50" w:line="360" w:lineRule="auto"/>
        <w:ind w:left="6"/>
        <w:rPr>
          <w:rFonts w:ascii="Times New Roman" w:hAnsi="Times New Roman" w:cs="Times New Roman"/>
          <w:sz w:val="24"/>
          <w:szCs w:val="22"/>
        </w:rPr>
      </w:pPr>
      <w:r>
        <w:rPr>
          <w:rFonts w:hint="eastAsia" w:ascii="Times New Roman" w:hAnsi="Times New Roman" w:cs="Times New Roman"/>
          <w:b/>
          <w:bCs/>
          <w:sz w:val="24"/>
          <w:szCs w:val="22"/>
        </w:rPr>
        <w:t>6.4.2</w:t>
      </w:r>
      <w:r>
        <w:rPr>
          <w:rFonts w:hint="eastAsia" w:ascii="Times New Roman" w:hAnsi="Times New Roman" w:cs="Times New Roman"/>
          <w:sz w:val="24"/>
          <w:szCs w:val="22"/>
        </w:rPr>
        <w:t xml:space="preserve">  竣工模型应与施工现场实际情况保持一致，模型提交单位应对模型的实模一致性负责。</w:t>
      </w:r>
    </w:p>
    <w:p w14:paraId="1C7CA39C">
      <w:pPr>
        <w:pStyle w:val="8"/>
        <w:spacing w:before="156" w:beforeLines="50" w:after="156" w:afterLines="50" w:line="360" w:lineRule="auto"/>
        <w:ind w:left="6"/>
        <w:rPr>
          <w:rFonts w:ascii="Times New Roman" w:hAnsi="Times New Roman" w:cs="Times New Roman"/>
          <w:spacing w:val="3"/>
          <w:sz w:val="20"/>
          <w:szCs w:val="20"/>
        </w:rPr>
      </w:pPr>
      <w:r>
        <w:rPr>
          <w:rFonts w:ascii="Times New Roman" w:hAnsi="Times New Roman" w:cs="Times New Roman"/>
          <w:b/>
          <w:sz w:val="24"/>
          <w:szCs w:val="22"/>
        </w:rPr>
        <w:t>6.</w:t>
      </w:r>
      <w:r>
        <w:rPr>
          <w:rFonts w:hint="eastAsia" w:ascii="Times New Roman" w:hAnsi="Times New Roman" w:cs="Times New Roman"/>
          <w:b/>
          <w:sz w:val="24"/>
          <w:szCs w:val="22"/>
        </w:rPr>
        <w:t>4</w:t>
      </w:r>
      <w:r>
        <w:rPr>
          <w:rFonts w:ascii="Times New Roman" w:hAnsi="Times New Roman" w:cs="Times New Roman"/>
          <w:b/>
          <w:sz w:val="24"/>
          <w:szCs w:val="22"/>
        </w:rPr>
        <w:t>.</w:t>
      </w:r>
      <w:r>
        <w:rPr>
          <w:rFonts w:hint="eastAsia" w:ascii="Times New Roman" w:hAnsi="Times New Roman" w:cs="Times New Roman"/>
          <w:b/>
          <w:sz w:val="24"/>
          <w:szCs w:val="22"/>
        </w:rPr>
        <w:t xml:space="preserve">3  </w:t>
      </w:r>
      <w:r>
        <w:rPr>
          <w:rFonts w:hint="eastAsia" w:ascii="Times New Roman" w:hAnsi="Times New Roman" w:cs="Times New Roman"/>
          <w:sz w:val="24"/>
          <w:szCs w:val="22"/>
          <w:lang w:val="en-US" w:eastAsia="zh-CN"/>
        </w:rPr>
        <w:t>竣工</w:t>
      </w:r>
      <w:r>
        <w:rPr>
          <w:rFonts w:ascii="Times New Roman" w:hAnsi="Times New Roman" w:cs="Times New Roman"/>
          <w:sz w:val="24"/>
          <w:szCs w:val="22"/>
        </w:rPr>
        <w:t>模型交付前施工单位</w:t>
      </w:r>
      <w:r>
        <w:rPr>
          <w:rFonts w:hint="eastAsia" w:ascii="Times New Roman" w:hAnsi="Times New Roman" w:cs="Times New Roman"/>
          <w:sz w:val="24"/>
          <w:szCs w:val="22"/>
          <w:lang w:val="en-US" w:eastAsia="zh-CN"/>
        </w:rPr>
        <w:t>应</w:t>
      </w:r>
      <w:r>
        <w:rPr>
          <w:rFonts w:ascii="Times New Roman" w:hAnsi="Times New Roman" w:cs="Times New Roman"/>
          <w:sz w:val="24"/>
          <w:szCs w:val="22"/>
        </w:rPr>
        <w:t>进行模型与现场一致性复核及信息完整性检查，形成竣工模型审核报告。</w:t>
      </w:r>
    </w:p>
    <w:p w14:paraId="749D50C4">
      <w:pPr>
        <w:pStyle w:val="8"/>
        <w:spacing w:before="156" w:beforeLines="50" w:after="156" w:afterLines="50" w:line="360" w:lineRule="auto"/>
        <w:ind w:left="6"/>
        <w:rPr>
          <w:rFonts w:ascii="Times New Roman" w:hAnsi="Times New Roman" w:cs="Times New Roman"/>
          <w:spacing w:val="3"/>
          <w:sz w:val="20"/>
          <w:szCs w:val="20"/>
        </w:rPr>
      </w:pPr>
      <w:r>
        <w:rPr>
          <w:rFonts w:ascii="Times New Roman" w:hAnsi="Times New Roman" w:cs="Times New Roman"/>
          <w:b/>
          <w:sz w:val="24"/>
          <w:szCs w:val="22"/>
        </w:rPr>
        <w:t>6.</w:t>
      </w:r>
      <w:r>
        <w:rPr>
          <w:rFonts w:hint="eastAsia" w:ascii="Times New Roman" w:hAnsi="Times New Roman" w:cs="Times New Roman"/>
          <w:b/>
          <w:sz w:val="24"/>
          <w:szCs w:val="22"/>
        </w:rPr>
        <w:t>4</w:t>
      </w:r>
      <w:r>
        <w:rPr>
          <w:rFonts w:ascii="Times New Roman" w:hAnsi="Times New Roman" w:cs="Times New Roman"/>
          <w:b/>
          <w:sz w:val="24"/>
          <w:szCs w:val="22"/>
        </w:rPr>
        <w:t>.</w:t>
      </w:r>
      <w:r>
        <w:rPr>
          <w:rFonts w:hint="eastAsia" w:ascii="Times New Roman" w:hAnsi="Times New Roman" w:cs="Times New Roman"/>
          <w:b/>
          <w:sz w:val="24"/>
          <w:szCs w:val="22"/>
        </w:rPr>
        <w:t xml:space="preserve">4  </w:t>
      </w:r>
      <w:r>
        <w:rPr>
          <w:rFonts w:ascii="Times New Roman" w:hAnsi="Times New Roman" w:cs="Times New Roman"/>
          <w:sz w:val="24"/>
          <w:szCs w:val="22"/>
        </w:rPr>
        <w:t>施工阶段BIM模型应根据工程项目的应用需求，选择</w:t>
      </w:r>
      <w:r>
        <w:rPr>
          <w:rFonts w:hint="eastAsia" w:ascii="Times New Roman" w:hAnsi="Times New Roman" w:cs="Times New Roman"/>
          <w:sz w:val="24"/>
          <w:szCs w:val="22"/>
          <w:lang w:eastAsia="zh-CN"/>
        </w:rPr>
        <w:t>模型细度</w:t>
      </w:r>
      <w:r>
        <w:rPr>
          <w:rFonts w:ascii="Times New Roman" w:hAnsi="Times New Roman" w:cs="Times New Roman"/>
          <w:sz w:val="24"/>
          <w:szCs w:val="22"/>
        </w:rPr>
        <w:t>基本等级，并可在基本等级之间扩充</w:t>
      </w:r>
      <w:r>
        <w:rPr>
          <w:rFonts w:hint="eastAsia" w:ascii="Times New Roman" w:hAnsi="Times New Roman" w:cs="Times New Roman"/>
          <w:sz w:val="24"/>
          <w:szCs w:val="22"/>
          <w:lang w:eastAsia="zh-CN"/>
        </w:rPr>
        <w:t>模型细度</w:t>
      </w:r>
      <w:r>
        <w:rPr>
          <w:rFonts w:ascii="Times New Roman" w:hAnsi="Times New Roman" w:cs="Times New Roman"/>
          <w:sz w:val="24"/>
          <w:szCs w:val="22"/>
        </w:rPr>
        <w:t>等级。</w:t>
      </w:r>
    </w:p>
    <w:p w14:paraId="523058C7">
      <w:pPr>
        <w:pStyle w:val="8"/>
        <w:spacing w:before="156" w:beforeLines="50" w:after="156" w:afterLines="50" w:line="360" w:lineRule="auto"/>
        <w:ind w:left="6"/>
        <w:rPr>
          <w:rFonts w:hint="eastAsia" w:ascii="Times New Roman" w:hAnsi="Times New Roman" w:eastAsia="宋体" w:cs="Times New Roman"/>
          <w:spacing w:val="3"/>
          <w:sz w:val="20"/>
          <w:szCs w:val="20"/>
          <w:lang w:eastAsia="zh-CN"/>
        </w:rPr>
      </w:pPr>
      <w:r>
        <w:rPr>
          <w:rFonts w:ascii="Times New Roman" w:hAnsi="Times New Roman" w:cs="Times New Roman"/>
          <w:b/>
          <w:sz w:val="24"/>
          <w:szCs w:val="22"/>
        </w:rPr>
        <w:t>6.</w:t>
      </w:r>
      <w:r>
        <w:rPr>
          <w:rFonts w:hint="eastAsia" w:ascii="Times New Roman" w:hAnsi="Times New Roman" w:cs="Times New Roman"/>
          <w:b/>
          <w:sz w:val="24"/>
          <w:szCs w:val="22"/>
        </w:rPr>
        <w:t>4</w:t>
      </w:r>
      <w:r>
        <w:rPr>
          <w:rFonts w:ascii="Times New Roman" w:hAnsi="Times New Roman" w:cs="Times New Roman"/>
          <w:b/>
          <w:sz w:val="24"/>
          <w:szCs w:val="22"/>
        </w:rPr>
        <w:t>.</w:t>
      </w:r>
      <w:r>
        <w:rPr>
          <w:rFonts w:hint="eastAsia" w:ascii="Times New Roman" w:hAnsi="Times New Roman" w:cs="Times New Roman"/>
          <w:b/>
          <w:sz w:val="24"/>
          <w:szCs w:val="22"/>
        </w:rPr>
        <w:t xml:space="preserve">5  </w:t>
      </w:r>
      <w:r>
        <w:rPr>
          <w:rFonts w:ascii="Times New Roman" w:hAnsi="Times New Roman" w:cs="Times New Roman"/>
          <w:sz w:val="24"/>
          <w:szCs w:val="22"/>
        </w:rPr>
        <w:t>施工阶段BIM应用宜</w:t>
      </w:r>
      <w:r>
        <w:rPr>
          <w:rFonts w:hint="eastAsia" w:ascii="Times New Roman" w:hAnsi="Times New Roman" w:cs="Times New Roman"/>
          <w:sz w:val="24"/>
          <w:szCs w:val="22"/>
          <w:lang w:val="en-US" w:eastAsia="zh-CN"/>
        </w:rPr>
        <w:t>覆盖工程项目</w:t>
      </w:r>
      <w:r>
        <w:rPr>
          <w:rFonts w:ascii="Times New Roman" w:hAnsi="Times New Roman" w:cs="Times New Roman"/>
          <w:sz w:val="24"/>
          <w:szCs w:val="22"/>
        </w:rPr>
        <w:t>施工策划、</w:t>
      </w:r>
      <w:r>
        <w:rPr>
          <w:rFonts w:hint="eastAsia" w:ascii="Times New Roman" w:hAnsi="Times New Roman" w:cs="Times New Roman"/>
          <w:sz w:val="24"/>
          <w:szCs w:val="22"/>
          <w:lang w:val="en-US" w:eastAsia="zh-CN"/>
        </w:rPr>
        <w:t>深化设计</w:t>
      </w:r>
      <w:r>
        <w:rPr>
          <w:rFonts w:ascii="Times New Roman" w:hAnsi="Times New Roman" w:cs="Times New Roman"/>
          <w:sz w:val="24"/>
          <w:szCs w:val="22"/>
        </w:rPr>
        <w:t>、施工实施和竣工</w:t>
      </w:r>
      <w:r>
        <w:rPr>
          <w:rFonts w:hint="eastAsia" w:ascii="Times New Roman" w:hAnsi="Times New Roman" w:cs="Times New Roman"/>
          <w:sz w:val="24"/>
          <w:szCs w:val="22"/>
          <w:lang w:val="en-US" w:eastAsia="zh-CN"/>
        </w:rPr>
        <w:t>验收等施工全过程</w:t>
      </w:r>
      <w:r>
        <w:rPr>
          <w:rFonts w:hint="eastAsia" w:ascii="Times New Roman" w:hAnsi="Times New Roman" w:cs="Times New Roman"/>
          <w:sz w:val="24"/>
          <w:szCs w:val="22"/>
          <w:lang w:eastAsia="zh-CN"/>
        </w:rPr>
        <w:t>，也可根据工程项目实际需要应用于某些环节或任务。</w:t>
      </w:r>
    </w:p>
    <w:p w14:paraId="23CAA196">
      <w:pPr>
        <w:pStyle w:val="8"/>
        <w:spacing w:before="156" w:beforeLines="50" w:after="156" w:afterLines="50" w:line="360" w:lineRule="auto"/>
        <w:ind w:left="6"/>
        <w:rPr>
          <w:rFonts w:ascii="Times New Roman" w:hAnsi="Times New Roman" w:cs="Times New Roman"/>
          <w:sz w:val="24"/>
          <w:szCs w:val="22"/>
        </w:rPr>
      </w:pPr>
      <w:r>
        <w:rPr>
          <w:rFonts w:ascii="Times New Roman" w:hAnsi="Times New Roman" w:cs="Times New Roman"/>
          <w:b/>
          <w:sz w:val="24"/>
          <w:szCs w:val="22"/>
        </w:rPr>
        <w:t>6.</w:t>
      </w:r>
      <w:r>
        <w:rPr>
          <w:rFonts w:hint="eastAsia" w:ascii="Times New Roman" w:hAnsi="Times New Roman" w:cs="Times New Roman"/>
          <w:b/>
          <w:sz w:val="24"/>
          <w:szCs w:val="22"/>
        </w:rPr>
        <w:t>4</w:t>
      </w:r>
      <w:r>
        <w:rPr>
          <w:rFonts w:ascii="Times New Roman" w:hAnsi="Times New Roman" w:cs="Times New Roman"/>
          <w:b/>
          <w:sz w:val="24"/>
          <w:szCs w:val="22"/>
        </w:rPr>
        <w:t>.</w:t>
      </w:r>
      <w:r>
        <w:rPr>
          <w:rFonts w:hint="eastAsia" w:ascii="Times New Roman" w:hAnsi="Times New Roman" w:cs="Times New Roman"/>
          <w:b/>
          <w:sz w:val="24"/>
          <w:szCs w:val="22"/>
        </w:rPr>
        <w:t xml:space="preserve">6  </w:t>
      </w:r>
      <w:r>
        <w:rPr>
          <w:rFonts w:ascii="Times New Roman" w:hAnsi="Times New Roman" w:cs="Times New Roman"/>
          <w:sz w:val="24"/>
          <w:szCs w:val="22"/>
        </w:rPr>
        <w:t>在各施工交付阶段，提交方应及时提交准确表达相关施工信息的施工阶段BIM模型。</w:t>
      </w:r>
    </w:p>
    <w:p w14:paraId="2FA5C26C">
      <w:pPr>
        <w:spacing w:before="156" w:after="156" w:line="360" w:lineRule="auto"/>
        <w:ind w:firstLine="0" w:firstLineChars="0"/>
        <w:rPr>
          <w:rFonts w:cs="Times New Roman"/>
        </w:rPr>
      </w:pPr>
      <w:r>
        <w:rPr>
          <w:rFonts w:cs="Times New Roman"/>
          <w:b/>
        </w:rPr>
        <w:t>6.</w:t>
      </w:r>
      <w:r>
        <w:rPr>
          <w:rFonts w:hint="eastAsia" w:cs="Times New Roman"/>
          <w:b/>
        </w:rPr>
        <w:t>4</w:t>
      </w:r>
      <w:r>
        <w:rPr>
          <w:rFonts w:cs="Times New Roman"/>
          <w:b/>
        </w:rPr>
        <w:t>.</w:t>
      </w:r>
      <w:r>
        <w:rPr>
          <w:rFonts w:hint="eastAsia" w:cs="Times New Roman"/>
          <w:b/>
        </w:rPr>
        <w:t xml:space="preserve">7  </w:t>
      </w:r>
      <w:r>
        <w:rPr>
          <w:rFonts w:cs="Times New Roman"/>
        </w:rPr>
        <w:t>工程项目相关方在施工BIM应用中应采取协议约定等措施确定施工模型数据共享和协同工作的方式。</w:t>
      </w:r>
    </w:p>
    <w:p w14:paraId="0520754A">
      <w:pPr>
        <w:widowControl/>
        <w:spacing w:before="156" w:after="156" w:line="360" w:lineRule="auto"/>
        <w:ind w:firstLine="0" w:firstLineChars="0"/>
        <w:jc w:val="left"/>
        <w:rPr>
          <w:rFonts w:hint="eastAsia" w:ascii="Times New Roman" w:hAnsi="Times New Roman" w:cs="Times New Roman"/>
        </w:rPr>
      </w:pPr>
      <w:r>
        <w:rPr>
          <w:rFonts w:hint="eastAsia" w:cs="Times New Roman"/>
          <w:b/>
        </w:rPr>
        <w:t xml:space="preserve">6.4.8 </w:t>
      </w:r>
      <w:r>
        <w:rPr>
          <w:rFonts w:hint="eastAsia" w:cs="Times New Roman"/>
        </w:rPr>
        <w:t xml:space="preserve"> </w:t>
      </w:r>
      <w:r>
        <w:rPr>
          <w:rFonts w:hint="eastAsia" w:ascii="Times New Roman" w:hAnsi="Times New Roman" w:cs="Times New Roman"/>
        </w:rPr>
        <w:t>施工阶段交付物应包含竣工建筑信息模型及其关联的模型数据、验收资料、模型使用说明、竣工图纸资料、设计变更文件、BIM 模型施工应用成果、计算模型和计算书等内容。</w:t>
      </w:r>
    </w:p>
    <w:p w14:paraId="4940595F">
      <w:pPr>
        <w:widowControl/>
        <w:spacing w:before="156" w:after="156" w:line="360" w:lineRule="auto"/>
        <w:ind w:firstLine="0" w:firstLineChars="0"/>
        <w:jc w:val="left"/>
        <w:rPr>
          <w:rFonts w:hint="eastAsia" w:ascii="Times New Roman" w:hAnsi="Times New Roman" w:cs="Times New Roman"/>
        </w:rPr>
      </w:pPr>
      <w:r>
        <w:rPr>
          <w:rFonts w:hint="eastAsia" w:ascii="Times New Roman" w:hAnsi="Times New Roman" w:cs="Times New Roman"/>
          <w:b/>
          <w:bCs/>
        </w:rPr>
        <w:t>6.4.9</w:t>
      </w:r>
      <w:r>
        <w:rPr>
          <w:rFonts w:hint="eastAsia" w:ascii="Times New Roman" w:hAnsi="Times New Roman" w:cs="Times New Roman"/>
        </w:rPr>
        <w:t xml:space="preserve">  交付物应符合青岛市数字化施工</w:t>
      </w:r>
      <w:r>
        <w:rPr>
          <w:rFonts w:hint="eastAsia" w:ascii="Times New Roman" w:hAnsi="Times New Roman" w:cs="Times New Roman"/>
          <w:lang w:eastAsia="zh-CN"/>
        </w:rPr>
        <w:t>、</w:t>
      </w:r>
      <w:r>
        <w:rPr>
          <w:rFonts w:hint="eastAsia" w:ascii="Times New Roman" w:hAnsi="Times New Roman" w:cs="Times New Roman"/>
          <w:lang w:val="en-US" w:eastAsia="zh-CN"/>
        </w:rPr>
        <w:t>智慧化工地</w:t>
      </w:r>
      <w:r>
        <w:rPr>
          <w:rFonts w:hint="eastAsia" w:ascii="Times New Roman" w:hAnsi="Times New Roman" w:cs="Times New Roman"/>
        </w:rPr>
        <w:t>的要求，详见附录A.3施工阶段交付物要求。</w:t>
      </w:r>
    </w:p>
    <w:p w14:paraId="47ACC6DA">
      <w:pPr>
        <w:pStyle w:val="3"/>
        <w:numPr>
          <w:ilvl w:val="1"/>
          <w:numId w:val="0"/>
        </w:numPr>
        <w:spacing w:before="156" w:after="156"/>
        <w:ind w:left="360" w:hanging="360"/>
        <w:rPr>
          <w:rFonts w:cs="Times New Roman"/>
          <w:b w:val="0"/>
          <w:bCs w:val="0"/>
        </w:rPr>
      </w:pPr>
      <w:bookmarkStart w:id="61" w:name="_Toc19679"/>
      <w:r>
        <w:rPr>
          <w:rFonts w:cs="Times New Roman"/>
          <w:bCs w:val="0"/>
        </w:rPr>
        <w:t>6.</w:t>
      </w:r>
      <w:r>
        <w:rPr>
          <w:rFonts w:hint="eastAsia" w:cs="Times New Roman"/>
          <w:bCs w:val="0"/>
          <w:lang w:val="en-US" w:eastAsia="zh-CN"/>
        </w:rPr>
        <w:t>5</w:t>
      </w:r>
      <w:r>
        <w:rPr>
          <w:rFonts w:cs="Times New Roman"/>
        </w:rPr>
        <w:t xml:space="preserve"> </w:t>
      </w:r>
      <w:bookmarkStart w:id="62" w:name="_Toc19938"/>
      <w:r>
        <w:rPr>
          <w:rFonts w:hint="eastAsia" w:cs="Times New Roman"/>
        </w:rPr>
        <w:t xml:space="preserve"> </w:t>
      </w:r>
      <w:r>
        <w:rPr>
          <w:rFonts w:cs="Times New Roman"/>
          <w:b w:val="0"/>
          <w:bCs w:val="0"/>
        </w:rPr>
        <w:t>交付形式</w:t>
      </w:r>
      <w:bookmarkEnd w:id="61"/>
      <w:bookmarkEnd w:id="62"/>
    </w:p>
    <w:p w14:paraId="4A5575E2">
      <w:pPr>
        <w:spacing w:before="156" w:after="156"/>
        <w:ind w:left="0" w:leftChars="0" w:firstLine="0" w:firstLineChars="0"/>
        <w:rPr>
          <w:rFonts w:cs="Times New Roman"/>
        </w:rPr>
      </w:pPr>
      <w:bookmarkStart w:id="63" w:name="_Hlk162945717"/>
      <w:r>
        <w:rPr>
          <w:rFonts w:hint="eastAsia" w:cs="Times New Roman"/>
          <w:b/>
          <w:bCs/>
          <w:lang w:val="en-US" w:eastAsia="zh-CN"/>
        </w:rPr>
        <w:t>6.5.1</w:t>
      </w:r>
      <w:r>
        <w:rPr>
          <w:rFonts w:cs="Times New Roman"/>
          <w:b/>
          <w:bCs/>
        </w:rPr>
        <w:t xml:space="preserve">  </w:t>
      </w:r>
      <w:r>
        <w:rPr>
          <w:rFonts w:cs="Times New Roman"/>
        </w:rPr>
        <w:t>建筑信息模型的信息交换和迭代应以模型单元为基础，同时需对阶段交付物进行细致的存档管理，以确保信息的完整性和可追溯性。</w:t>
      </w:r>
      <w:bookmarkEnd w:id="63"/>
    </w:p>
    <w:p w14:paraId="4B982D07">
      <w:pPr>
        <w:spacing w:before="156" w:after="156"/>
        <w:ind w:left="0" w:leftChars="0" w:firstLine="0" w:firstLineChars="0"/>
        <w:rPr>
          <w:rFonts w:cs="Times New Roman"/>
        </w:rPr>
      </w:pPr>
      <w:r>
        <w:rPr>
          <w:rFonts w:hint="eastAsia" w:cs="Times New Roman"/>
          <w:b/>
          <w:bCs/>
          <w:lang w:val="en-US" w:eastAsia="zh-CN"/>
        </w:rPr>
        <w:t>6.5.2</w:t>
      </w:r>
      <w:r>
        <w:rPr>
          <w:rFonts w:cs="Times New Roman"/>
          <w:b/>
          <w:bCs/>
        </w:rPr>
        <w:t xml:space="preserve">  </w:t>
      </w:r>
      <w:r>
        <w:rPr>
          <w:rFonts w:cs="Times New Roman"/>
        </w:rPr>
        <w:t>建筑信息模型不仅限于自身，更能够索引其他类别的交付物。在交付过程中，模型文件与其他相关交付物应被放置在统一的文件夹内，并确保索引路径的准确性，从而方便用户轻松访问和查找所需信息。</w:t>
      </w:r>
    </w:p>
    <w:p w14:paraId="28043BCA">
      <w:pPr>
        <w:spacing w:before="156" w:after="156"/>
        <w:ind w:left="0" w:leftChars="0" w:firstLine="0" w:firstLineChars="0"/>
        <w:rPr>
          <w:rFonts w:cs="Times New Roman"/>
        </w:rPr>
      </w:pPr>
      <w:r>
        <w:rPr>
          <w:rFonts w:hint="eastAsia" w:cs="Times New Roman"/>
          <w:b/>
          <w:bCs/>
          <w:lang w:val="en-US" w:eastAsia="zh-CN"/>
        </w:rPr>
        <w:t>6.5.3</w:t>
      </w:r>
      <w:r>
        <w:rPr>
          <w:rFonts w:cs="Times New Roman"/>
          <w:b/>
          <w:bCs/>
        </w:rPr>
        <w:t xml:space="preserve">  </w:t>
      </w:r>
      <w:r>
        <w:rPr>
          <w:rFonts w:cs="Times New Roman"/>
        </w:rPr>
        <w:t>为确保建筑信息模型的有效传达，其交付形式应实现多样化，包括但不限于模型、表格、文档、图像、点云、多媒体及网页等多种形式。同时，不同的表达方式需建立相应关联访问关系，以确保在使用过程中能够更加便捷、高效</w:t>
      </w:r>
      <w:r>
        <w:rPr>
          <w:rFonts w:hint="eastAsia" w:cs="Times New Roman"/>
          <w:lang w:eastAsia="zh-CN"/>
        </w:rPr>
        <w:t>地</w:t>
      </w:r>
      <w:r>
        <w:rPr>
          <w:rFonts w:cs="Times New Roman"/>
        </w:rPr>
        <w:t>获取信息。</w:t>
      </w:r>
    </w:p>
    <w:p w14:paraId="45766A7B">
      <w:pPr>
        <w:pStyle w:val="3"/>
        <w:spacing w:before="156" w:after="156"/>
        <w:ind w:firstLine="0" w:firstLineChars="0"/>
        <w:rPr>
          <w:rFonts w:cs="Times New Roman"/>
          <w:b w:val="0"/>
          <w:bCs w:val="0"/>
        </w:rPr>
      </w:pPr>
      <w:bookmarkStart w:id="64" w:name="_Toc13698"/>
      <w:bookmarkStart w:id="65" w:name="_Toc7830"/>
      <w:r>
        <w:rPr>
          <w:rFonts w:cs="Times New Roman"/>
        </w:rPr>
        <w:t>6.</w:t>
      </w:r>
      <w:r>
        <w:rPr>
          <w:rFonts w:hint="eastAsia" w:cs="Times New Roman"/>
          <w:lang w:val="en-US" w:eastAsia="zh-CN"/>
        </w:rPr>
        <w:t>6</w:t>
      </w:r>
      <w:r>
        <w:rPr>
          <w:rFonts w:cs="Times New Roman"/>
        </w:rPr>
        <w:t xml:space="preserve">  </w:t>
      </w:r>
      <w:r>
        <w:rPr>
          <w:rFonts w:cs="Times New Roman"/>
          <w:b w:val="0"/>
          <w:bCs w:val="0"/>
        </w:rPr>
        <w:t>其他交付要求</w:t>
      </w:r>
      <w:bookmarkEnd w:id="64"/>
      <w:bookmarkEnd w:id="65"/>
    </w:p>
    <w:p w14:paraId="273DFEC9">
      <w:pPr>
        <w:spacing w:before="156" w:after="156"/>
        <w:ind w:firstLine="0" w:firstLineChars="0"/>
        <w:rPr>
          <w:rFonts w:cs="Times New Roman"/>
        </w:rPr>
      </w:pPr>
      <w:r>
        <w:rPr>
          <w:rFonts w:cs="Times New Roman"/>
          <w:b/>
        </w:rPr>
        <w:t>6.</w:t>
      </w:r>
      <w:r>
        <w:rPr>
          <w:rFonts w:hint="eastAsia" w:cs="Times New Roman"/>
          <w:b/>
          <w:lang w:val="en-US" w:eastAsia="zh-CN"/>
        </w:rPr>
        <w:t>6</w:t>
      </w:r>
      <w:r>
        <w:rPr>
          <w:rFonts w:cs="Times New Roman"/>
          <w:b/>
        </w:rPr>
        <w:t xml:space="preserve">.1  </w:t>
      </w:r>
      <w:r>
        <w:rPr>
          <w:rFonts w:cs="Times New Roman"/>
        </w:rPr>
        <w:t>准确性与一致性验证</w:t>
      </w:r>
    </w:p>
    <w:p w14:paraId="106419FF">
      <w:pPr>
        <w:spacing w:before="156" w:after="156"/>
        <w:ind w:firstLine="482"/>
        <w:rPr>
          <w:rFonts w:cs="Times New Roman"/>
          <w:b/>
          <w:bCs/>
        </w:rPr>
      </w:pPr>
      <w:r>
        <w:rPr>
          <w:rFonts w:cs="Times New Roman"/>
          <w:b/>
          <w:bCs/>
          <w:lang w:val="zh-CN"/>
        </w:rPr>
        <w:t>1</w:t>
      </w:r>
      <w:r>
        <w:rPr>
          <w:rFonts w:cs="Times New Roman"/>
          <w:b/>
          <w:bCs/>
        </w:rPr>
        <w:t xml:space="preserve">  </w:t>
      </w:r>
      <w:r>
        <w:rPr>
          <w:rFonts w:cs="Times New Roman"/>
        </w:rPr>
        <w:t>为了保证建筑信息模型交付的质量，需确保交付内容符合各项标准。相关要求详见《建筑信息模型应用导则</w:t>
      </w:r>
      <w:r>
        <w:rPr>
          <w:rFonts w:hint="eastAsia" w:cs="Times New Roman"/>
          <w:lang w:eastAsia="zh-CN"/>
        </w:rPr>
        <w:t>》《</w:t>
      </w:r>
      <w:r>
        <w:rPr>
          <w:rFonts w:hint="eastAsia" w:cs="Times New Roman"/>
        </w:rPr>
        <w:t>建筑信息模型设计应用导则</w:t>
      </w:r>
      <w:r>
        <w:rPr>
          <w:rFonts w:hint="eastAsia" w:cs="Times New Roman"/>
          <w:lang w:eastAsia="zh-CN"/>
        </w:rPr>
        <w:t>》《</w:t>
      </w:r>
      <w:r>
        <w:rPr>
          <w:rFonts w:cs="Times New Roman"/>
        </w:rPr>
        <w:t>建筑信息模型施工应用导则</w:t>
      </w:r>
      <w:r>
        <w:rPr>
          <w:rFonts w:hint="eastAsia" w:cs="Times New Roman"/>
          <w:lang w:eastAsia="zh-CN"/>
        </w:rPr>
        <w:t>》《</w:t>
      </w:r>
      <w:r>
        <w:rPr>
          <w:rFonts w:cs="Times New Roman"/>
        </w:rPr>
        <w:t>建筑信息模型分类和编码导则》等。</w:t>
      </w:r>
    </w:p>
    <w:p w14:paraId="6B460F38">
      <w:pPr>
        <w:spacing w:before="156" w:after="156"/>
        <w:ind w:firstLine="482"/>
        <w:rPr>
          <w:rFonts w:cs="Times New Roman"/>
          <w:b/>
          <w:bCs/>
          <w:lang w:val="zh-CN"/>
        </w:rPr>
      </w:pPr>
      <w:r>
        <w:rPr>
          <w:rFonts w:cs="Times New Roman"/>
          <w:b/>
          <w:bCs/>
        </w:rPr>
        <w:t xml:space="preserve">2  </w:t>
      </w:r>
      <w:r>
        <w:rPr>
          <w:rFonts w:cs="Times New Roman"/>
          <w:lang w:val="zh-CN"/>
        </w:rPr>
        <w:t>在进行建筑信息模型交付时，需要为模型提供全方位的指导和协调，涉及建筑、结构、设备等多个领域，以确保各个模型之间的一致性和准确性。</w:t>
      </w:r>
    </w:p>
    <w:p w14:paraId="79C2D166">
      <w:pPr>
        <w:spacing w:before="156" w:after="156"/>
        <w:ind w:firstLine="482"/>
        <w:rPr>
          <w:rFonts w:cs="Times New Roman"/>
          <w:b/>
          <w:bCs/>
        </w:rPr>
      </w:pPr>
      <w:r>
        <w:rPr>
          <w:rFonts w:cs="Times New Roman"/>
          <w:b/>
          <w:bCs/>
        </w:rPr>
        <w:t xml:space="preserve">3  </w:t>
      </w:r>
      <w:r>
        <w:rPr>
          <w:rFonts w:cs="Times New Roman"/>
        </w:rPr>
        <w:t>在数据交付之前，需进行严格的准确性和一致性验证，验证的内容应包括以下几点：</w:t>
      </w:r>
    </w:p>
    <w:p w14:paraId="41E83236">
      <w:pPr>
        <w:spacing w:before="156" w:after="156"/>
        <w:ind w:left="480" w:leftChars="200" w:firstLine="0" w:firstLineChars="0"/>
        <w:rPr>
          <w:rFonts w:hint="eastAsia" w:eastAsia="宋体" w:cs="Times New Roman"/>
          <w:lang w:eastAsia="zh-CN"/>
        </w:rPr>
      </w:pPr>
      <w:r>
        <w:rPr>
          <w:rFonts w:cs="Times New Roman"/>
        </w:rPr>
        <w:t>（1）数据已经经过仔细审核和清理</w:t>
      </w:r>
      <w:r>
        <w:rPr>
          <w:rFonts w:hint="eastAsia" w:cs="Times New Roman"/>
          <w:lang w:eastAsia="zh-CN"/>
        </w:rPr>
        <w:t>。</w:t>
      </w:r>
    </w:p>
    <w:p w14:paraId="03DB1AB6">
      <w:pPr>
        <w:spacing w:before="156" w:after="156"/>
        <w:ind w:left="480" w:leftChars="200" w:firstLine="0" w:firstLineChars="0"/>
        <w:rPr>
          <w:rFonts w:hint="eastAsia" w:eastAsia="宋体" w:cs="Times New Roman"/>
          <w:lang w:eastAsia="zh-CN"/>
        </w:rPr>
      </w:pPr>
      <w:r>
        <w:rPr>
          <w:rFonts w:cs="Times New Roman"/>
        </w:rPr>
        <w:t>（2）数据是最新确认的版本</w:t>
      </w:r>
      <w:r>
        <w:rPr>
          <w:rFonts w:hint="eastAsia" w:cs="Times New Roman"/>
          <w:lang w:eastAsia="zh-CN"/>
        </w:rPr>
        <w:t>。</w:t>
      </w:r>
    </w:p>
    <w:p w14:paraId="079C6A79">
      <w:pPr>
        <w:spacing w:before="156" w:after="156"/>
        <w:ind w:left="480" w:leftChars="200" w:firstLine="0" w:firstLineChars="0"/>
        <w:rPr>
          <w:rFonts w:cs="Times New Roman"/>
        </w:rPr>
      </w:pPr>
      <w:r>
        <w:rPr>
          <w:rFonts w:cs="Times New Roman"/>
        </w:rPr>
        <w:t>（3）数据的内容、格式与数据交付标准或数据互用协议相符。</w:t>
      </w:r>
    </w:p>
    <w:p w14:paraId="16AD59D5">
      <w:pPr>
        <w:spacing w:before="156" w:after="156"/>
        <w:ind w:firstLine="0" w:firstLineChars="0"/>
        <w:rPr>
          <w:rFonts w:cs="Times New Roman"/>
        </w:rPr>
      </w:pPr>
      <w:r>
        <w:rPr>
          <w:rFonts w:cs="Times New Roman"/>
          <w:b/>
        </w:rPr>
        <w:t>6.</w:t>
      </w:r>
      <w:r>
        <w:rPr>
          <w:rFonts w:hint="eastAsia" w:cs="Times New Roman"/>
          <w:b/>
          <w:lang w:val="en-US" w:eastAsia="zh-CN"/>
        </w:rPr>
        <w:t>6</w:t>
      </w:r>
      <w:r>
        <w:rPr>
          <w:rFonts w:cs="Times New Roman"/>
          <w:b/>
        </w:rPr>
        <w:t xml:space="preserve">.2  </w:t>
      </w:r>
      <w:r>
        <w:rPr>
          <w:rFonts w:cs="Times New Roman"/>
        </w:rPr>
        <w:t>可视化展示和交互功能</w:t>
      </w:r>
    </w:p>
    <w:p w14:paraId="135C0ADC">
      <w:pPr>
        <w:spacing w:before="156" w:after="156"/>
        <w:ind w:firstLine="482"/>
        <w:rPr>
          <w:rFonts w:cs="Times New Roman"/>
          <w:lang w:val="zh-CN"/>
        </w:rPr>
      </w:pPr>
      <w:r>
        <w:rPr>
          <w:rFonts w:cs="Times New Roman"/>
          <w:b/>
          <w:bCs/>
          <w:lang w:val="zh-CN"/>
        </w:rPr>
        <w:t>1</w:t>
      </w:r>
      <w:r>
        <w:rPr>
          <w:rFonts w:cs="Times New Roman"/>
          <w:b/>
          <w:bCs/>
        </w:rPr>
        <w:t xml:space="preserve">  </w:t>
      </w:r>
      <w:r>
        <w:rPr>
          <w:rFonts w:cs="Times New Roman"/>
          <w:lang w:val="zh-CN"/>
        </w:rPr>
        <w:t>建筑信息模型应当使用</w:t>
      </w:r>
      <w:r>
        <w:rPr>
          <w:rFonts w:hint="eastAsia" w:cs="Times New Roman"/>
        </w:rPr>
        <w:t>数字化协同</w:t>
      </w:r>
      <w:r>
        <w:rPr>
          <w:rFonts w:cs="Times New Roman"/>
          <w:lang w:val="zh-CN"/>
        </w:rPr>
        <w:t>平台可识别的格式，以保障数据的无缝交互性，从而确保各种软件和平台之间能够高效、安全地交换数据，避免因信息丢失等问题带来的风险。</w:t>
      </w:r>
    </w:p>
    <w:p w14:paraId="4D196287">
      <w:pPr>
        <w:spacing w:before="156" w:after="156"/>
        <w:ind w:firstLine="482"/>
        <w:rPr>
          <w:rFonts w:cs="Times New Roman"/>
          <w:lang w:val="zh-CN"/>
        </w:rPr>
      </w:pPr>
      <w:r>
        <w:rPr>
          <w:rFonts w:cs="Times New Roman"/>
          <w:b/>
          <w:bCs/>
        </w:rPr>
        <w:t xml:space="preserve">2  </w:t>
      </w:r>
      <w:r>
        <w:rPr>
          <w:rFonts w:cs="Times New Roman"/>
          <w:lang w:val="zh-CN"/>
        </w:rPr>
        <w:t>模型的交互性应满足建设工程全生命周期协同工作的需求，支持各阶段、各任务和各相关方进行消息的获取、更新和管理，确保信息的实时性和准确性。</w:t>
      </w:r>
    </w:p>
    <w:p w14:paraId="61E5AF41">
      <w:pPr>
        <w:spacing w:before="156" w:after="156"/>
        <w:ind w:firstLine="482"/>
        <w:rPr>
          <w:rFonts w:cs="Times New Roman"/>
          <w:lang w:val="zh-CN"/>
        </w:rPr>
      </w:pPr>
      <w:r>
        <w:rPr>
          <w:rFonts w:cs="Times New Roman"/>
          <w:b/>
          <w:bCs/>
        </w:rPr>
        <w:t xml:space="preserve">3  </w:t>
      </w:r>
      <w:r>
        <w:rPr>
          <w:rFonts w:cs="Times New Roman"/>
          <w:lang w:val="zh-CN"/>
        </w:rPr>
        <w:t>在模型交互过程中，应包含模型所有权的状态信息，明确模型的创建者、审核者与更新者，以及模型的创建、审核和更新时间，所使用的软件及版本等信息，以确保模型数据的完整性和可追溯性。</w:t>
      </w:r>
    </w:p>
    <w:p w14:paraId="43814520">
      <w:pPr>
        <w:spacing w:before="156" w:after="156"/>
        <w:ind w:firstLine="482"/>
        <w:rPr>
          <w:rFonts w:cs="Times New Roman"/>
          <w:lang w:val="zh-CN"/>
        </w:rPr>
      </w:pPr>
      <w:r>
        <w:rPr>
          <w:rFonts w:cs="Times New Roman"/>
          <w:b/>
          <w:bCs/>
        </w:rPr>
        <w:t xml:space="preserve">4  </w:t>
      </w:r>
      <w:r>
        <w:rPr>
          <w:rFonts w:cs="Times New Roman"/>
          <w:lang w:val="zh-CN"/>
        </w:rPr>
        <w:t>建设工程各相关方之间的模型数据交互功能，应符合国家现行有关标准的规定。当无相关标准时，各方应共同商定模型数据交互协议，详细规定交互数据的内容、格式和验收条件，以确保数据交互的顺畅性和准确性。</w:t>
      </w:r>
    </w:p>
    <w:p w14:paraId="5145C7C6">
      <w:pPr>
        <w:spacing w:before="156" w:after="156"/>
        <w:ind w:firstLine="482"/>
        <w:rPr>
          <w:rFonts w:cs="Times New Roman"/>
          <w:lang w:val="zh-CN"/>
        </w:rPr>
      </w:pPr>
      <w:r>
        <w:rPr>
          <w:rFonts w:cs="Times New Roman"/>
          <w:b/>
          <w:bCs/>
        </w:rPr>
        <w:t xml:space="preserve">5  </w:t>
      </w:r>
      <w:r>
        <w:rPr>
          <w:rFonts w:cs="Times New Roman"/>
          <w:lang w:val="zh-CN"/>
        </w:rPr>
        <w:t>建设工程全生命周期各个阶段、各项任务的建筑信息模型应用标准应明确模型数据交换的内容与格式，为各方提供统一的模型数据交互标准，确保项目的高效实施和成功完成。</w:t>
      </w:r>
    </w:p>
    <w:p w14:paraId="7D0DC706">
      <w:pPr>
        <w:spacing w:before="156" w:after="156"/>
        <w:ind w:firstLine="0" w:firstLineChars="0"/>
        <w:rPr>
          <w:rFonts w:cs="Times New Roman"/>
        </w:rPr>
      </w:pPr>
      <w:r>
        <w:rPr>
          <w:rFonts w:cs="Times New Roman"/>
          <w:b/>
        </w:rPr>
        <w:t>6.</w:t>
      </w:r>
      <w:r>
        <w:rPr>
          <w:rFonts w:hint="eastAsia" w:cs="Times New Roman"/>
          <w:b/>
          <w:lang w:val="en-US" w:eastAsia="zh-CN"/>
        </w:rPr>
        <w:t>6</w:t>
      </w:r>
      <w:r>
        <w:rPr>
          <w:rFonts w:cs="Times New Roman"/>
          <w:b/>
        </w:rPr>
        <w:t xml:space="preserve">.3  </w:t>
      </w:r>
      <w:r>
        <w:rPr>
          <w:rFonts w:cs="Times New Roman"/>
        </w:rPr>
        <w:t>私密和机密信息处理</w:t>
      </w:r>
    </w:p>
    <w:p w14:paraId="1499380E">
      <w:pPr>
        <w:spacing w:before="156" w:after="156"/>
        <w:ind w:firstLine="482"/>
        <w:rPr>
          <w:rFonts w:cs="Times New Roman"/>
        </w:rPr>
      </w:pPr>
      <w:r>
        <w:rPr>
          <w:rFonts w:cs="Times New Roman"/>
          <w:b/>
          <w:bCs/>
          <w:lang w:val="zh-CN"/>
        </w:rPr>
        <w:t>1</w:t>
      </w:r>
      <w:r>
        <w:rPr>
          <w:rFonts w:cs="Times New Roman"/>
          <w:b/>
          <w:bCs/>
        </w:rPr>
        <w:t xml:space="preserve">  </w:t>
      </w:r>
      <w:r>
        <w:rPr>
          <w:rFonts w:cs="Times New Roman"/>
        </w:rPr>
        <w:t>在交付和应用建筑信息模型时，为确保数据的安全性和一致性，应采取集中管理的方式，并设定适当的数据访问权限。有助于防止数据泄露和误操作，确保项目的顺利进行。</w:t>
      </w:r>
    </w:p>
    <w:p w14:paraId="550822C3">
      <w:pPr>
        <w:spacing w:before="156" w:after="156"/>
        <w:ind w:firstLine="482"/>
        <w:rPr>
          <w:rFonts w:cs="Times New Roman"/>
        </w:rPr>
      </w:pPr>
      <w:r>
        <w:rPr>
          <w:rFonts w:cs="Times New Roman"/>
          <w:b/>
          <w:bCs/>
        </w:rPr>
        <w:t xml:space="preserve">2  </w:t>
      </w:r>
      <w:r>
        <w:rPr>
          <w:rFonts w:cs="Times New Roman"/>
        </w:rPr>
        <w:t>建筑信息模型及其相关交付物的提供方，有责任确保所有文件和信息链接的稳定性和有效性。一旦发现任何失效的链接或文件，应尽快修复，以免对项目进展造成影响。</w:t>
      </w:r>
    </w:p>
    <w:p w14:paraId="342A7D17">
      <w:pPr>
        <w:spacing w:before="156" w:after="156"/>
        <w:ind w:firstLine="482"/>
        <w:rPr>
          <w:rFonts w:cs="Times New Roman"/>
        </w:rPr>
      </w:pPr>
      <w:r>
        <w:rPr>
          <w:rFonts w:cs="Times New Roman"/>
          <w:b/>
          <w:bCs/>
        </w:rPr>
        <w:t xml:space="preserve">3  </w:t>
      </w:r>
      <w:r>
        <w:rPr>
          <w:rFonts w:cs="Times New Roman"/>
        </w:rPr>
        <w:t>在模型的创建和使用过程中，须明确各个参与方及其成员的管理权限。这有助于规范团队内部的协作流程，防止因权限混乱而导致的误操作。同时，还应实施版本控制，确保每次模型更新都能得到妥善记录和管理。</w:t>
      </w:r>
    </w:p>
    <w:p w14:paraId="5D0DA48F">
      <w:pPr>
        <w:pStyle w:val="3"/>
        <w:spacing w:before="156" w:after="156"/>
        <w:ind w:firstLine="0" w:firstLineChars="0"/>
        <w:rPr>
          <w:rFonts w:cs="Times New Roman"/>
          <w:b w:val="0"/>
          <w:bCs w:val="0"/>
        </w:rPr>
      </w:pPr>
      <w:bookmarkStart w:id="66" w:name="_Toc12524"/>
      <w:bookmarkStart w:id="67" w:name="_Toc22207"/>
      <w:r>
        <w:rPr>
          <w:rFonts w:cs="Times New Roman"/>
        </w:rPr>
        <w:t>6.</w:t>
      </w:r>
      <w:r>
        <w:rPr>
          <w:rFonts w:hint="eastAsia" w:cs="Times New Roman"/>
          <w:lang w:val="en-US" w:eastAsia="zh-CN"/>
        </w:rPr>
        <w:t>7</w:t>
      </w:r>
      <w:r>
        <w:rPr>
          <w:rFonts w:cs="Times New Roman"/>
        </w:rPr>
        <w:t xml:space="preserve">  </w:t>
      </w:r>
      <w:r>
        <w:rPr>
          <w:rFonts w:cs="Times New Roman"/>
          <w:b w:val="0"/>
          <w:bCs w:val="0"/>
        </w:rPr>
        <w:t>数字化交付流程</w:t>
      </w:r>
      <w:bookmarkEnd w:id="66"/>
      <w:bookmarkEnd w:id="67"/>
    </w:p>
    <w:p w14:paraId="6F6EED8B">
      <w:pPr>
        <w:spacing w:before="156" w:after="156"/>
        <w:ind w:firstLine="0" w:firstLineChars="0"/>
        <w:rPr>
          <w:rFonts w:cs="Times New Roman"/>
          <w:b/>
        </w:rPr>
      </w:pPr>
      <w:r>
        <w:rPr>
          <w:rFonts w:cs="Times New Roman"/>
          <w:b/>
        </w:rPr>
        <w:t>6.</w:t>
      </w:r>
      <w:r>
        <w:rPr>
          <w:rFonts w:hint="eastAsia" w:cs="Times New Roman"/>
          <w:b/>
          <w:lang w:val="en-US" w:eastAsia="zh-CN"/>
        </w:rPr>
        <w:t>7</w:t>
      </w:r>
      <w:r>
        <w:rPr>
          <w:rFonts w:cs="Times New Roman"/>
          <w:b/>
        </w:rPr>
        <w:t xml:space="preserve">.1  </w:t>
      </w:r>
      <w:r>
        <w:rPr>
          <w:rFonts w:cs="Times New Roman"/>
          <w:bCs/>
        </w:rPr>
        <w:t>数字化交付策略制定</w:t>
      </w:r>
    </w:p>
    <w:p w14:paraId="0D9BE768">
      <w:pPr>
        <w:spacing w:before="156" w:after="156"/>
        <w:ind w:firstLine="482"/>
        <w:rPr>
          <w:rFonts w:cs="Times New Roman"/>
        </w:rPr>
      </w:pPr>
      <w:r>
        <w:rPr>
          <w:rFonts w:cs="Times New Roman"/>
          <w:b/>
          <w:bCs/>
        </w:rPr>
        <w:t>1</w:t>
      </w:r>
      <w:r>
        <w:rPr>
          <w:rFonts w:cs="Times New Roman"/>
        </w:rPr>
        <w:t xml:space="preserve">  应确定数字化交付的目标及参与方的组织结构、工作范围和职责。</w:t>
      </w:r>
    </w:p>
    <w:p w14:paraId="310948A4">
      <w:pPr>
        <w:spacing w:before="156" w:after="156"/>
        <w:ind w:firstLine="482"/>
        <w:rPr>
          <w:rFonts w:cs="Times New Roman"/>
        </w:rPr>
      </w:pPr>
      <w:r>
        <w:rPr>
          <w:rFonts w:cs="Times New Roman"/>
          <w:b/>
          <w:bCs/>
        </w:rPr>
        <w:t>2</w:t>
      </w:r>
      <w:r>
        <w:rPr>
          <w:rFonts w:cs="Times New Roman"/>
        </w:rPr>
        <w:t xml:space="preserve">  应明确数字化交付遵循的法律法规和标准。</w:t>
      </w:r>
    </w:p>
    <w:p w14:paraId="4C347679">
      <w:pPr>
        <w:spacing w:before="156" w:after="156"/>
        <w:ind w:firstLine="482"/>
        <w:rPr>
          <w:rFonts w:cs="Times New Roman"/>
        </w:rPr>
      </w:pPr>
      <w:r>
        <w:rPr>
          <w:rFonts w:cs="Times New Roman"/>
          <w:b/>
          <w:bCs/>
        </w:rPr>
        <w:t>3</w:t>
      </w:r>
      <w:r>
        <w:rPr>
          <w:rFonts w:cs="Times New Roman"/>
        </w:rPr>
        <w:t xml:space="preserve">  应明确交付的组织方式、存储方式和交付形式等。</w:t>
      </w:r>
    </w:p>
    <w:p w14:paraId="13B1D0F5">
      <w:pPr>
        <w:spacing w:before="156" w:after="156"/>
        <w:ind w:firstLine="482"/>
        <w:rPr>
          <w:rFonts w:cs="Times New Roman"/>
        </w:rPr>
      </w:pPr>
      <w:r>
        <w:rPr>
          <w:rFonts w:cs="Times New Roman"/>
          <w:b/>
          <w:bCs/>
        </w:rPr>
        <w:t>4</w:t>
      </w:r>
      <w:r>
        <w:rPr>
          <w:rFonts w:cs="Times New Roman"/>
        </w:rPr>
        <w:t xml:space="preserve">  应明确数字化交付验收标准。</w:t>
      </w:r>
    </w:p>
    <w:p w14:paraId="27AA080B">
      <w:pPr>
        <w:spacing w:before="156" w:after="156"/>
        <w:ind w:firstLine="0" w:firstLineChars="0"/>
        <w:rPr>
          <w:rFonts w:cs="Times New Roman"/>
          <w:b/>
        </w:rPr>
      </w:pPr>
      <w:r>
        <w:rPr>
          <w:rFonts w:cs="Times New Roman"/>
          <w:b/>
        </w:rPr>
        <w:t>6.</w:t>
      </w:r>
      <w:r>
        <w:rPr>
          <w:rFonts w:hint="eastAsia" w:cs="Times New Roman"/>
          <w:b/>
          <w:lang w:val="en-US" w:eastAsia="zh-CN"/>
        </w:rPr>
        <w:t>7</w:t>
      </w:r>
      <w:r>
        <w:rPr>
          <w:rFonts w:cs="Times New Roman"/>
          <w:b/>
        </w:rPr>
        <w:t xml:space="preserve">.2  </w:t>
      </w:r>
      <w:r>
        <w:rPr>
          <w:rFonts w:cs="Times New Roman"/>
          <w:bCs/>
        </w:rPr>
        <w:t>数字化交付基础制定</w:t>
      </w:r>
    </w:p>
    <w:p w14:paraId="41035AF3">
      <w:pPr>
        <w:spacing w:before="156" w:after="156"/>
        <w:ind w:firstLine="482"/>
        <w:rPr>
          <w:rFonts w:cs="Times New Roman"/>
        </w:rPr>
      </w:pPr>
      <w:r>
        <w:rPr>
          <w:rFonts w:cs="Times New Roman"/>
          <w:b/>
          <w:bCs/>
        </w:rPr>
        <w:t>1</w:t>
      </w:r>
      <w:r>
        <w:rPr>
          <w:rFonts w:cs="Times New Roman"/>
        </w:rPr>
        <w:t xml:space="preserve">  数字化交付基础宜适应当前行业信息化水平，具有可操作性。</w:t>
      </w:r>
    </w:p>
    <w:p w14:paraId="38C4E4A9">
      <w:pPr>
        <w:spacing w:before="156" w:after="156"/>
        <w:ind w:firstLine="482"/>
        <w:rPr>
          <w:rFonts w:cs="Times New Roman"/>
          <w:b/>
          <w:bCs/>
        </w:rPr>
      </w:pPr>
      <w:r>
        <w:rPr>
          <w:rFonts w:cs="Times New Roman"/>
          <w:b/>
          <w:bCs/>
        </w:rPr>
        <w:t xml:space="preserve">2  </w:t>
      </w:r>
      <w:r>
        <w:rPr>
          <w:rFonts w:cs="Times New Roman"/>
        </w:rPr>
        <w:t>项目招标前应制定数字化</w:t>
      </w:r>
      <w:r>
        <w:rPr>
          <w:rFonts w:hint="eastAsia" w:cs="Times New Roman"/>
          <w:lang w:eastAsia="zh-CN"/>
        </w:rPr>
        <w:t>交付</w:t>
      </w:r>
      <w:r>
        <w:rPr>
          <w:rFonts w:cs="Times New Roman"/>
        </w:rPr>
        <w:t>规定，具体内容应符合本标准第6章的规定。</w:t>
      </w:r>
    </w:p>
    <w:p w14:paraId="7484ECB3">
      <w:pPr>
        <w:spacing w:before="156" w:after="156"/>
        <w:ind w:firstLine="0" w:firstLineChars="0"/>
        <w:rPr>
          <w:rFonts w:cs="Times New Roman"/>
          <w:b/>
        </w:rPr>
      </w:pPr>
      <w:r>
        <w:rPr>
          <w:rFonts w:cs="Times New Roman"/>
          <w:b/>
        </w:rPr>
        <w:t>6.</w:t>
      </w:r>
      <w:r>
        <w:rPr>
          <w:rFonts w:hint="eastAsia" w:cs="Times New Roman"/>
          <w:b/>
          <w:lang w:val="en-US" w:eastAsia="zh-CN"/>
        </w:rPr>
        <w:t>7</w:t>
      </w:r>
      <w:r>
        <w:rPr>
          <w:rFonts w:cs="Times New Roman"/>
          <w:b/>
        </w:rPr>
        <w:t>.3</w:t>
      </w:r>
      <w:r>
        <w:rPr>
          <w:rFonts w:cs="Times New Roman"/>
          <w:b w:val="0"/>
          <w:bCs/>
        </w:rPr>
        <w:t>数字化交付流程</w:t>
      </w:r>
    </w:p>
    <w:p w14:paraId="2A798FE8">
      <w:pPr>
        <w:spacing w:before="156" w:after="156"/>
        <w:ind w:firstLine="480"/>
        <w:rPr>
          <w:rFonts w:cs="Times New Roman"/>
        </w:rPr>
      </w:pPr>
      <w:r>
        <w:rPr>
          <w:rFonts w:cs="Times New Roman"/>
        </w:rPr>
        <w:t>数字化交付流程应依据数字化交付策略和交付基础细化相关内容，针对每个阶段，采用不同的交付流程，具体内容如下：</w:t>
      </w:r>
    </w:p>
    <w:p w14:paraId="14927AF2">
      <w:pPr>
        <w:spacing w:before="156" w:after="156"/>
        <w:ind w:firstLine="482"/>
        <w:rPr>
          <w:rFonts w:cs="Times New Roman"/>
        </w:rPr>
      </w:pPr>
      <w:r>
        <w:rPr>
          <w:rFonts w:hint="eastAsia" w:cs="Times New Roman"/>
          <w:b/>
          <w:bCs/>
        </w:rPr>
        <w:t>1</w:t>
      </w:r>
      <w:r>
        <w:rPr>
          <w:rFonts w:cs="Times New Roman"/>
        </w:rPr>
        <w:t xml:space="preserve">  勘察阶段交付流程</w:t>
      </w:r>
    </w:p>
    <w:p w14:paraId="52834A37">
      <w:pPr>
        <w:spacing w:before="156" w:after="156"/>
        <w:ind w:firstLine="0" w:firstLineChars="0"/>
        <w:rPr>
          <w:rFonts w:cs="Times New Roman"/>
        </w:rPr>
      </w:pPr>
      <w:r>
        <w:rPr>
          <w:rFonts w:cs="Times New Roman"/>
        </w:rPr>
        <w:drawing>
          <wp:inline distT="0" distB="0" distL="114300" distR="114300">
            <wp:extent cx="5266690" cy="2560320"/>
            <wp:effectExtent l="0" t="0" r="1016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a:stretch>
                      <a:fillRect/>
                    </a:stretch>
                  </pic:blipFill>
                  <pic:spPr>
                    <a:xfrm>
                      <a:off x="0" y="0"/>
                      <a:ext cx="5266690" cy="2560320"/>
                    </a:xfrm>
                    <a:prstGeom prst="rect">
                      <a:avLst/>
                    </a:prstGeom>
                    <a:noFill/>
                    <a:ln>
                      <a:noFill/>
                    </a:ln>
                  </pic:spPr>
                </pic:pic>
              </a:graphicData>
            </a:graphic>
          </wp:inline>
        </w:drawing>
      </w:r>
    </w:p>
    <w:p w14:paraId="11C2F195">
      <w:pPr>
        <w:spacing w:before="156" w:after="156"/>
        <w:ind w:firstLine="0" w:firstLineChars="0"/>
        <w:jc w:val="center"/>
        <w:rPr>
          <w:rFonts w:cs="Times New Roman"/>
          <w:b/>
          <w:bCs/>
          <w:sz w:val="21"/>
          <w:szCs w:val="21"/>
        </w:rPr>
      </w:pPr>
      <w:r>
        <w:rPr>
          <w:rFonts w:cs="Times New Roman"/>
          <w:b/>
          <w:bCs/>
          <w:sz w:val="21"/>
          <w:szCs w:val="21"/>
        </w:rPr>
        <w:t>图6.</w:t>
      </w:r>
      <w:r>
        <w:rPr>
          <w:rFonts w:hint="eastAsia" w:cs="Times New Roman"/>
          <w:b/>
          <w:bCs/>
          <w:sz w:val="21"/>
          <w:szCs w:val="21"/>
          <w:lang w:val="en-US" w:eastAsia="zh-CN"/>
        </w:rPr>
        <w:t>7</w:t>
      </w:r>
      <w:r>
        <w:rPr>
          <w:rFonts w:cs="Times New Roman"/>
          <w:b/>
          <w:bCs/>
          <w:sz w:val="21"/>
          <w:szCs w:val="21"/>
        </w:rPr>
        <w:t>.3-</w:t>
      </w:r>
      <w:r>
        <w:rPr>
          <w:rFonts w:hint="eastAsia" w:cs="Times New Roman"/>
          <w:b/>
          <w:bCs/>
          <w:sz w:val="21"/>
          <w:szCs w:val="21"/>
        </w:rPr>
        <w:t>1</w:t>
      </w:r>
      <w:r>
        <w:rPr>
          <w:rFonts w:cs="Times New Roman"/>
          <w:b/>
          <w:bCs/>
          <w:sz w:val="21"/>
          <w:szCs w:val="21"/>
        </w:rPr>
        <w:t xml:space="preserve"> 勘察阶段交付流程</w:t>
      </w:r>
    </w:p>
    <w:p w14:paraId="7EBA8D2F">
      <w:pPr>
        <w:spacing w:before="156" w:after="156"/>
        <w:ind w:firstLine="482"/>
        <w:rPr>
          <w:rFonts w:cs="Times New Roman"/>
        </w:rPr>
      </w:pPr>
      <w:r>
        <w:rPr>
          <w:rFonts w:hint="eastAsia" w:cs="Times New Roman"/>
          <w:b/>
          <w:bCs/>
        </w:rPr>
        <w:t>2</w:t>
      </w:r>
      <w:r>
        <w:rPr>
          <w:rFonts w:cs="Times New Roman"/>
        </w:rPr>
        <w:t xml:space="preserve">  设计阶段交付流程</w:t>
      </w:r>
    </w:p>
    <w:p w14:paraId="55C73CC8">
      <w:pPr>
        <w:spacing w:before="156" w:after="156"/>
        <w:ind w:firstLine="0" w:firstLineChars="0"/>
        <w:rPr>
          <w:rFonts w:cs="Times New Roman"/>
        </w:rPr>
      </w:pPr>
      <w:r>
        <w:rPr>
          <w:rFonts w:cs="Times New Roman"/>
        </w:rPr>
        <w:drawing>
          <wp:inline distT="0" distB="0" distL="114300" distR="114300">
            <wp:extent cx="5270500" cy="2534920"/>
            <wp:effectExtent l="0" t="0" r="6350" b="177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7"/>
                    <a:stretch>
                      <a:fillRect/>
                    </a:stretch>
                  </pic:blipFill>
                  <pic:spPr>
                    <a:xfrm>
                      <a:off x="0" y="0"/>
                      <a:ext cx="5270500" cy="2534920"/>
                    </a:xfrm>
                    <a:prstGeom prst="rect">
                      <a:avLst/>
                    </a:prstGeom>
                    <a:noFill/>
                    <a:ln>
                      <a:noFill/>
                    </a:ln>
                  </pic:spPr>
                </pic:pic>
              </a:graphicData>
            </a:graphic>
          </wp:inline>
        </w:drawing>
      </w:r>
    </w:p>
    <w:p w14:paraId="5773B679">
      <w:pPr>
        <w:spacing w:before="156" w:after="156"/>
        <w:ind w:firstLine="0" w:firstLineChars="0"/>
        <w:jc w:val="center"/>
        <w:rPr>
          <w:rFonts w:cs="Times New Roman"/>
          <w:b/>
          <w:bCs/>
          <w:sz w:val="21"/>
          <w:szCs w:val="21"/>
        </w:rPr>
      </w:pPr>
      <w:r>
        <w:rPr>
          <w:rFonts w:cs="Times New Roman"/>
          <w:b/>
          <w:bCs/>
          <w:sz w:val="21"/>
          <w:szCs w:val="21"/>
        </w:rPr>
        <w:t>图6.</w:t>
      </w:r>
      <w:r>
        <w:rPr>
          <w:rFonts w:hint="eastAsia" w:cs="Times New Roman"/>
          <w:b/>
          <w:bCs/>
          <w:sz w:val="21"/>
          <w:szCs w:val="21"/>
          <w:lang w:val="en-US" w:eastAsia="zh-CN"/>
        </w:rPr>
        <w:t>7</w:t>
      </w:r>
      <w:r>
        <w:rPr>
          <w:rFonts w:cs="Times New Roman"/>
          <w:b/>
          <w:bCs/>
          <w:sz w:val="21"/>
          <w:szCs w:val="21"/>
        </w:rPr>
        <w:t>.3-</w:t>
      </w:r>
      <w:r>
        <w:rPr>
          <w:rFonts w:hint="eastAsia" w:cs="Times New Roman"/>
          <w:b/>
          <w:bCs/>
          <w:sz w:val="21"/>
          <w:szCs w:val="21"/>
        </w:rPr>
        <w:t>2</w:t>
      </w:r>
      <w:r>
        <w:rPr>
          <w:rFonts w:cs="Times New Roman"/>
          <w:b/>
          <w:bCs/>
          <w:sz w:val="21"/>
          <w:szCs w:val="21"/>
        </w:rPr>
        <w:t xml:space="preserve"> 设计阶段交付流程</w:t>
      </w:r>
    </w:p>
    <w:p w14:paraId="6B752CF5">
      <w:pPr>
        <w:spacing w:before="156" w:after="156"/>
        <w:ind w:firstLine="482"/>
        <w:rPr>
          <w:rFonts w:hint="eastAsia" w:cs="Times New Roman"/>
          <w:b/>
          <w:bCs/>
        </w:rPr>
      </w:pPr>
    </w:p>
    <w:p w14:paraId="09305F0F">
      <w:pPr>
        <w:spacing w:before="156" w:after="156"/>
        <w:ind w:firstLine="482"/>
        <w:rPr>
          <w:rFonts w:hint="eastAsia" w:cs="Times New Roman"/>
          <w:b/>
          <w:bCs/>
        </w:rPr>
      </w:pPr>
    </w:p>
    <w:p w14:paraId="0425B381">
      <w:pPr>
        <w:spacing w:before="156" w:after="156"/>
        <w:ind w:firstLine="482"/>
        <w:rPr>
          <w:rFonts w:hint="eastAsia" w:cs="Times New Roman"/>
          <w:b/>
          <w:bCs/>
        </w:rPr>
      </w:pPr>
    </w:p>
    <w:p w14:paraId="42E5A982">
      <w:pPr>
        <w:spacing w:before="156" w:after="156"/>
        <w:ind w:firstLine="482"/>
        <w:rPr>
          <w:rFonts w:hint="eastAsia" w:cs="Times New Roman"/>
          <w:b/>
          <w:bCs/>
        </w:rPr>
      </w:pPr>
    </w:p>
    <w:p w14:paraId="0D2C166D">
      <w:pPr>
        <w:spacing w:before="156" w:after="156"/>
        <w:ind w:firstLine="482"/>
        <w:rPr>
          <w:rFonts w:cs="Times New Roman"/>
        </w:rPr>
      </w:pPr>
      <w:r>
        <w:rPr>
          <w:rFonts w:hint="eastAsia" w:cs="Times New Roman"/>
          <w:b/>
          <w:bCs/>
        </w:rPr>
        <w:t>3</w:t>
      </w:r>
      <w:r>
        <w:rPr>
          <w:rFonts w:cs="Times New Roman"/>
        </w:rPr>
        <w:t xml:space="preserve">  施工阶段交付流程</w:t>
      </w:r>
    </w:p>
    <w:p w14:paraId="6F651E99">
      <w:pPr>
        <w:spacing w:before="156" w:after="156"/>
        <w:ind w:firstLine="0" w:firstLineChars="0"/>
        <w:rPr>
          <w:rFonts w:cs="Times New Roman"/>
        </w:rPr>
      </w:pPr>
      <w:r>
        <w:rPr>
          <w:rFonts w:cs="Times New Roman"/>
        </w:rPr>
        <w:drawing>
          <wp:inline distT="0" distB="0" distL="114300" distR="114300">
            <wp:extent cx="5269865" cy="2537460"/>
            <wp:effectExtent l="0" t="0" r="6985" b="1524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8"/>
                    <a:stretch>
                      <a:fillRect/>
                    </a:stretch>
                  </pic:blipFill>
                  <pic:spPr>
                    <a:xfrm>
                      <a:off x="0" y="0"/>
                      <a:ext cx="5269865" cy="2537460"/>
                    </a:xfrm>
                    <a:prstGeom prst="rect">
                      <a:avLst/>
                    </a:prstGeom>
                    <a:noFill/>
                    <a:ln>
                      <a:noFill/>
                    </a:ln>
                  </pic:spPr>
                </pic:pic>
              </a:graphicData>
            </a:graphic>
          </wp:inline>
        </w:drawing>
      </w:r>
    </w:p>
    <w:p w14:paraId="1553CCF8">
      <w:pPr>
        <w:spacing w:before="156" w:after="156"/>
        <w:ind w:firstLine="0" w:firstLineChars="0"/>
        <w:jc w:val="center"/>
        <w:rPr>
          <w:rFonts w:cs="Times New Roman"/>
          <w:b/>
          <w:bCs/>
          <w:sz w:val="21"/>
          <w:szCs w:val="21"/>
        </w:rPr>
      </w:pPr>
      <w:r>
        <w:rPr>
          <w:rFonts w:cs="Times New Roman"/>
          <w:b/>
          <w:bCs/>
          <w:sz w:val="21"/>
          <w:szCs w:val="21"/>
        </w:rPr>
        <w:t>图6.</w:t>
      </w:r>
      <w:r>
        <w:rPr>
          <w:rFonts w:hint="eastAsia" w:cs="Times New Roman"/>
          <w:b/>
          <w:bCs/>
          <w:sz w:val="21"/>
          <w:szCs w:val="21"/>
          <w:lang w:val="en-US" w:eastAsia="zh-CN"/>
        </w:rPr>
        <w:t>7</w:t>
      </w:r>
      <w:r>
        <w:rPr>
          <w:rFonts w:cs="Times New Roman"/>
          <w:b/>
          <w:bCs/>
          <w:sz w:val="21"/>
          <w:szCs w:val="21"/>
        </w:rPr>
        <w:t>.3-</w:t>
      </w:r>
      <w:r>
        <w:rPr>
          <w:rFonts w:hint="eastAsia" w:cs="Times New Roman"/>
          <w:b/>
          <w:bCs/>
          <w:sz w:val="21"/>
          <w:szCs w:val="21"/>
        </w:rPr>
        <w:t>3</w:t>
      </w:r>
      <w:r>
        <w:rPr>
          <w:rFonts w:cs="Times New Roman"/>
          <w:b/>
          <w:bCs/>
          <w:sz w:val="21"/>
          <w:szCs w:val="21"/>
        </w:rPr>
        <w:t xml:space="preserve"> 施工阶段交付流程</w:t>
      </w:r>
    </w:p>
    <w:p w14:paraId="1E6D8638">
      <w:pPr>
        <w:spacing w:before="156" w:after="156"/>
        <w:ind w:firstLine="0" w:firstLineChars="0"/>
        <w:rPr>
          <w:rFonts w:cs="Times New Roman"/>
          <w:b/>
        </w:rPr>
      </w:pPr>
      <w:r>
        <w:rPr>
          <w:rFonts w:cs="Times New Roman"/>
          <w:b/>
        </w:rPr>
        <w:t>6.</w:t>
      </w:r>
      <w:r>
        <w:rPr>
          <w:rFonts w:hint="eastAsia" w:cs="Times New Roman"/>
          <w:b/>
          <w:lang w:val="en-US" w:eastAsia="zh-CN"/>
        </w:rPr>
        <w:t>7</w:t>
      </w:r>
      <w:r>
        <w:rPr>
          <w:rFonts w:cs="Times New Roman"/>
          <w:b/>
        </w:rPr>
        <w:t>.4  数字化验收跟踪</w:t>
      </w:r>
    </w:p>
    <w:p w14:paraId="6AC2D999">
      <w:pPr>
        <w:spacing w:before="156" w:after="156"/>
        <w:ind w:firstLine="482"/>
        <w:rPr>
          <w:rFonts w:hint="eastAsia" w:eastAsia="宋体" w:cs="Times New Roman"/>
          <w:lang w:eastAsia="zh-CN"/>
        </w:rPr>
      </w:pPr>
      <w:r>
        <w:rPr>
          <w:rFonts w:cs="Times New Roman"/>
          <w:b/>
          <w:bCs/>
        </w:rPr>
        <w:t>1</w:t>
      </w:r>
      <w:r>
        <w:rPr>
          <w:rFonts w:cs="Times New Roman"/>
        </w:rPr>
        <w:t xml:space="preserve">  数字化验收跟踪应按照数据、文档和三维模型的交付物清单执行</w:t>
      </w:r>
      <w:r>
        <w:rPr>
          <w:rFonts w:hint="eastAsia" w:cs="Times New Roman"/>
          <w:lang w:eastAsia="zh-CN"/>
        </w:rPr>
        <w:t>。</w:t>
      </w:r>
    </w:p>
    <w:p w14:paraId="5022B8D1">
      <w:pPr>
        <w:spacing w:before="156" w:after="156"/>
        <w:ind w:firstLine="482"/>
        <w:rPr>
          <w:rFonts w:cs="Times New Roman"/>
        </w:rPr>
      </w:pPr>
      <w:r>
        <w:rPr>
          <w:rFonts w:cs="Times New Roman"/>
          <w:b/>
          <w:bCs/>
        </w:rPr>
        <w:t>2</w:t>
      </w:r>
      <w:r>
        <w:rPr>
          <w:rFonts w:cs="Times New Roman"/>
        </w:rPr>
        <w:t xml:space="preserve">  数字化验收跟踪应依据数字化</w:t>
      </w:r>
      <w:r>
        <w:rPr>
          <w:rFonts w:hint="eastAsia" w:cs="Times New Roman"/>
          <w:lang w:eastAsia="zh-CN"/>
        </w:rPr>
        <w:t>交付</w:t>
      </w:r>
      <w:r>
        <w:rPr>
          <w:rFonts w:cs="Times New Roman"/>
        </w:rPr>
        <w:t>各阶段规定的内容，进行完整性、准确性和一致性确认。</w:t>
      </w:r>
    </w:p>
    <w:p w14:paraId="5F191BE4">
      <w:pPr>
        <w:spacing w:before="156" w:after="156"/>
        <w:ind w:firstLine="482"/>
        <w:rPr>
          <w:rFonts w:cs="Times New Roman"/>
        </w:rPr>
      </w:pPr>
      <w:r>
        <w:rPr>
          <w:rFonts w:cs="Times New Roman"/>
          <w:b/>
          <w:bCs/>
        </w:rPr>
        <w:t>3</w:t>
      </w:r>
      <w:r>
        <w:rPr>
          <w:rFonts w:cs="Times New Roman"/>
        </w:rPr>
        <w:t xml:space="preserve">  数字化</w:t>
      </w:r>
      <w:r>
        <w:rPr>
          <w:rFonts w:hint="eastAsia" w:cs="Times New Roman"/>
          <w:lang w:eastAsia="zh-CN"/>
        </w:rPr>
        <w:t>交付</w:t>
      </w:r>
      <w:r>
        <w:rPr>
          <w:rFonts w:cs="Times New Roman"/>
        </w:rPr>
        <w:t>后应形成验收报告。</w:t>
      </w:r>
    </w:p>
    <w:p w14:paraId="614FDE3B">
      <w:pPr>
        <w:spacing w:before="156" w:after="156"/>
        <w:ind w:firstLine="480"/>
        <w:rPr>
          <w:rFonts w:cs="Times New Roman"/>
        </w:rPr>
      </w:pPr>
    </w:p>
    <w:p w14:paraId="34CDBE6D">
      <w:pPr>
        <w:pStyle w:val="2"/>
        <w:spacing w:before="156" w:after="156"/>
        <w:ind w:firstLine="602"/>
        <w:rPr>
          <w:rFonts w:cs="Times New Roman"/>
        </w:rPr>
        <w:sectPr>
          <w:footerReference r:id="rId11" w:type="default"/>
          <w:pgSz w:w="11906" w:h="16838"/>
          <w:pgMar w:top="1440" w:right="1800" w:bottom="1440" w:left="1800" w:header="851" w:footer="992" w:gutter="0"/>
          <w:cols w:space="425" w:num="1"/>
          <w:docGrid w:type="lines" w:linePitch="312" w:charSpace="0"/>
        </w:sectPr>
      </w:pPr>
    </w:p>
    <w:p w14:paraId="2D244FB8">
      <w:pPr>
        <w:pStyle w:val="2"/>
        <w:pageBreakBefore/>
        <w:spacing w:before="163" w:after="163" w:line="579" w:lineRule="auto"/>
        <w:ind w:firstLine="0" w:firstLineChars="0"/>
        <w:jc w:val="left"/>
        <w:rPr>
          <w:rFonts w:cs="Times New Roman"/>
        </w:rPr>
      </w:pPr>
      <w:bookmarkStart w:id="68" w:name="_Toc17479"/>
      <w:bookmarkStart w:id="69" w:name="_Toc21118"/>
      <w:r>
        <w:rPr>
          <w:rFonts w:cs="Times New Roman"/>
          <w:lang w:val="zh-CN"/>
        </w:rPr>
        <w:t>附录A交付物要求</w:t>
      </w:r>
      <w:bookmarkEnd w:id="68"/>
      <w:bookmarkEnd w:id="69"/>
    </w:p>
    <w:p w14:paraId="65132287">
      <w:pPr>
        <w:spacing w:before="163" w:after="163"/>
        <w:ind w:firstLine="0" w:firstLineChars="0"/>
        <w:outlineLvl w:val="1"/>
        <w:rPr>
          <w:rFonts w:cs="Times New Roman"/>
          <w:b/>
          <w:bCs/>
          <w:szCs w:val="24"/>
        </w:rPr>
      </w:pPr>
      <w:bookmarkStart w:id="70" w:name="_Toc8147"/>
      <w:r>
        <w:rPr>
          <w:rFonts w:cs="Times New Roman"/>
          <w:b/>
          <w:bCs/>
          <w:szCs w:val="24"/>
        </w:rPr>
        <w:t>A.</w:t>
      </w:r>
      <w:r>
        <w:rPr>
          <w:rFonts w:hint="eastAsia" w:cs="Times New Roman"/>
          <w:b/>
          <w:bCs/>
          <w:szCs w:val="24"/>
        </w:rPr>
        <w:t>1勘察</w:t>
      </w:r>
      <w:r>
        <w:rPr>
          <w:rFonts w:cs="Times New Roman"/>
          <w:b/>
          <w:bCs/>
          <w:szCs w:val="24"/>
        </w:rPr>
        <w:t>阶段交付物要求</w:t>
      </w:r>
      <w:bookmarkEnd w:id="70"/>
    </w:p>
    <w:p w14:paraId="28D86195">
      <w:pPr>
        <w:spacing w:before="163" w:after="163"/>
        <w:ind w:firstLine="422"/>
        <w:jc w:val="center"/>
        <w:rPr>
          <w:rFonts w:cs="Times New Roman"/>
          <w:b/>
          <w:bCs/>
          <w:szCs w:val="24"/>
        </w:rPr>
      </w:pPr>
      <w:r>
        <w:rPr>
          <w:rFonts w:hint="eastAsia" w:ascii="宋体" w:hAnsi="宋体" w:cs="宋体"/>
          <w:b/>
          <w:bCs/>
          <w:sz w:val="21"/>
          <w:szCs w:val="21"/>
          <w:lang w:val="en-US" w:eastAsia="zh-CN"/>
        </w:rPr>
        <w:t>表</w:t>
      </w:r>
      <w:r>
        <w:rPr>
          <w:rFonts w:hint="eastAsia" w:ascii="宋体" w:hAnsi="宋体" w:cs="宋体"/>
          <w:b/>
          <w:bCs/>
          <w:sz w:val="21"/>
          <w:szCs w:val="21"/>
        </w:rPr>
        <w:t>A.</w:t>
      </w:r>
      <w:r>
        <w:rPr>
          <w:rFonts w:hint="eastAsia" w:ascii="宋体" w:hAnsi="宋体" w:cs="宋体"/>
          <w:b/>
          <w:bCs/>
          <w:sz w:val="21"/>
          <w:szCs w:val="21"/>
          <w:lang w:val="en-US" w:eastAsia="zh-CN"/>
        </w:rPr>
        <w:t>1</w:t>
      </w:r>
      <w:r>
        <w:rPr>
          <w:rFonts w:hint="eastAsia" w:cs="Times New Roman"/>
          <w:b/>
          <w:bCs/>
          <w:szCs w:val="24"/>
        </w:rPr>
        <w:t>勘察</w:t>
      </w:r>
      <w:r>
        <w:rPr>
          <w:rFonts w:cs="Times New Roman"/>
          <w:b/>
          <w:bCs/>
          <w:szCs w:val="24"/>
        </w:rPr>
        <w:t>阶段交付物要求</w:t>
      </w:r>
    </w:p>
    <w:tbl>
      <w:tblPr>
        <w:tblStyle w:val="67"/>
        <w:tblW w:w="512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71"/>
        <w:gridCol w:w="1364"/>
        <w:gridCol w:w="1473"/>
        <w:gridCol w:w="1262"/>
        <w:gridCol w:w="3165"/>
        <w:gridCol w:w="576"/>
      </w:tblGrid>
      <w:tr w14:paraId="4CAA0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85" w:hRule="atLeast"/>
          <w:jc w:val="center"/>
        </w:trPr>
        <w:tc>
          <w:tcPr>
            <w:tcW w:w="394" w:type="pct"/>
            <w:tcBorders>
              <w:bottom w:val="single" w:color="auto" w:sz="4" w:space="0"/>
            </w:tcBorders>
            <w:vAlign w:val="center"/>
          </w:tcPr>
          <w:p w14:paraId="2A20895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BIM应用阶段</w:t>
            </w:r>
          </w:p>
        </w:tc>
        <w:tc>
          <w:tcPr>
            <w:tcW w:w="801" w:type="pct"/>
            <w:tcBorders>
              <w:top w:val="single" w:color="000000" w:sz="4" w:space="0"/>
              <w:right w:val="single" w:color="000000" w:sz="4" w:space="0"/>
            </w:tcBorders>
            <w:vAlign w:val="center"/>
          </w:tcPr>
          <w:p w14:paraId="3D41581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w:t>
            </w:r>
          </w:p>
          <w:p w14:paraId="0EDE79B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内容</w:t>
            </w:r>
          </w:p>
        </w:tc>
        <w:tc>
          <w:tcPr>
            <w:tcW w:w="865" w:type="pct"/>
            <w:tcBorders>
              <w:top w:val="single" w:color="000000" w:sz="4" w:space="0"/>
              <w:left w:val="single" w:color="000000" w:sz="4" w:space="0"/>
              <w:right w:val="single" w:color="000000" w:sz="4" w:space="0"/>
            </w:tcBorders>
            <w:vAlign w:val="center"/>
          </w:tcPr>
          <w:p w14:paraId="07F08D98">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BIM应用子项（应用点）</w:t>
            </w:r>
          </w:p>
        </w:tc>
        <w:tc>
          <w:tcPr>
            <w:tcW w:w="2599" w:type="pct"/>
            <w:gridSpan w:val="2"/>
            <w:tcBorders>
              <w:top w:val="single" w:color="000000" w:sz="4" w:space="0"/>
              <w:left w:val="single" w:color="000000" w:sz="4" w:space="0"/>
              <w:bottom w:val="single" w:color="000000" w:sz="4" w:space="0"/>
              <w:right w:val="single" w:color="000000" w:sz="4" w:space="0"/>
            </w:tcBorders>
            <w:vAlign w:val="center"/>
          </w:tcPr>
          <w:p w14:paraId="3274BC7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BIM应用交付物</w:t>
            </w:r>
          </w:p>
        </w:tc>
        <w:tc>
          <w:tcPr>
            <w:tcW w:w="338" w:type="pct"/>
            <w:tcBorders>
              <w:top w:val="single" w:color="000000" w:sz="4" w:space="0"/>
              <w:left w:val="single" w:color="000000" w:sz="4" w:space="0"/>
              <w:bottom w:val="single" w:color="000000" w:sz="4" w:space="0"/>
            </w:tcBorders>
            <w:vAlign w:val="center"/>
          </w:tcPr>
          <w:p w14:paraId="436ED63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交付</w:t>
            </w:r>
          </w:p>
          <w:p w14:paraId="0E1C72D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物类</w:t>
            </w:r>
          </w:p>
          <w:p w14:paraId="746E75C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型</w:t>
            </w:r>
          </w:p>
        </w:tc>
      </w:tr>
      <w:tr w14:paraId="6C4F5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restart"/>
            <w:tcBorders>
              <w:top w:val="single" w:color="auto" w:sz="4" w:space="0"/>
              <w:left w:val="single" w:color="auto" w:sz="4" w:space="0"/>
              <w:bottom w:val="single" w:color="auto" w:sz="4" w:space="0"/>
              <w:right w:val="single" w:color="auto" w:sz="4" w:space="0"/>
            </w:tcBorders>
            <w:vAlign w:val="center"/>
          </w:tcPr>
          <w:p w14:paraId="33159CD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spacing w:val="6"/>
                <w:sz w:val="21"/>
                <w:szCs w:val="21"/>
                <w:lang w:eastAsia="zh-CN"/>
              </w:rPr>
              <w:t>勘察</w:t>
            </w:r>
            <w:r>
              <w:rPr>
                <w:rFonts w:hint="eastAsia"/>
                <w:color w:val="000000"/>
                <w:spacing w:val="-3"/>
                <w:sz w:val="21"/>
                <w:szCs w:val="21"/>
              </w:rPr>
              <w:t>阶段</w:t>
            </w:r>
          </w:p>
        </w:tc>
        <w:tc>
          <w:tcPr>
            <w:tcW w:w="801" w:type="pct"/>
            <w:tcBorders>
              <w:left w:val="single" w:color="auto" w:sz="4" w:space="0"/>
            </w:tcBorders>
            <w:vAlign w:val="center"/>
          </w:tcPr>
          <w:p w14:paraId="5F2F06B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spacing w:val="7"/>
                <w:sz w:val="21"/>
                <w:szCs w:val="21"/>
                <w:lang w:eastAsia="zh-CN"/>
              </w:rPr>
              <w:t>勘察信息模型执行计划</w:t>
            </w:r>
          </w:p>
        </w:tc>
        <w:tc>
          <w:tcPr>
            <w:tcW w:w="865" w:type="pct"/>
            <w:vAlign w:val="center"/>
          </w:tcPr>
          <w:p w14:paraId="2A20E10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服务计划</w:t>
            </w:r>
          </w:p>
        </w:tc>
        <w:tc>
          <w:tcPr>
            <w:tcW w:w="2599" w:type="pct"/>
            <w:gridSpan w:val="2"/>
            <w:tcBorders>
              <w:right w:val="single" w:color="000000" w:sz="4" w:space="0"/>
            </w:tcBorders>
            <w:vAlign w:val="center"/>
          </w:tcPr>
          <w:p w14:paraId="4A64FDB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1.项目概况；</w:t>
            </w:r>
          </w:p>
          <w:p w14:paraId="1F66363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2.建模依据及范围；</w:t>
            </w:r>
          </w:p>
          <w:p w14:paraId="2F3AA29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3.模型元素丰富度、几何表达精度和信息深度等总体要求；</w:t>
            </w:r>
          </w:p>
          <w:p w14:paraId="777B4C32">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4.软硬件配置方案及交付物数据格式；</w:t>
            </w:r>
          </w:p>
          <w:p w14:paraId="50270AD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5.人力资源等基础配置情况；</w:t>
            </w:r>
          </w:p>
          <w:p w14:paraId="04D85498">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6</w:t>
            </w:r>
            <w:r>
              <w:rPr>
                <w:rFonts w:hint="eastAsia"/>
                <w:color w:val="000000"/>
                <w:spacing w:val="-3"/>
                <w:sz w:val="21"/>
                <w:szCs w:val="21"/>
                <w:lang w:eastAsia="zh-CN"/>
              </w:rPr>
              <w:t>.</w:t>
            </w:r>
            <w:r>
              <w:rPr>
                <w:rFonts w:hint="eastAsia"/>
                <w:color w:val="000000"/>
                <w:spacing w:val="-3"/>
                <w:sz w:val="21"/>
                <w:szCs w:val="21"/>
              </w:rPr>
              <w:t>项目进度计划。</w:t>
            </w:r>
          </w:p>
        </w:tc>
        <w:tc>
          <w:tcPr>
            <w:tcW w:w="338" w:type="pct"/>
            <w:tcBorders>
              <w:top w:val="single" w:color="000000" w:sz="4" w:space="0"/>
              <w:left w:val="single" w:color="000000" w:sz="4" w:space="0"/>
              <w:bottom w:val="single" w:color="000000" w:sz="4" w:space="0"/>
            </w:tcBorders>
            <w:vAlign w:val="center"/>
          </w:tcPr>
          <w:p w14:paraId="7A32074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文本文件</w:t>
            </w:r>
          </w:p>
        </w:tc>
      </w:tr>
      <w:tr w14:paraId="55E71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continue"/>
            <w:tcBorders>
              <w:top w:val="single" w:color="auto" w:sz="4" w:space="0"/>
              <w:left w:val="single" w:color="auto" w:sz="4" w:space="0"/>
              <w:bottom w:val="single" w:color="auto" w:sz="4" w:space="0"/>
              <w:right w:val="single" w:color="auto" w:sz="4" w:space="0"/>
            </w:tcBorders>
            <w:vAlign w:val="center"/>
          </w:tcPr>
          <w:p w14:paraId="3A8E822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01" w:type="pct"/>
            <w:vMerge w:val="restart"/>
            <w:tcBorders>
              <w:left w:val="single" w:color="auto" w:sz="4" w:space="0"/>
            </w:tcBorders>
            <w:vAlign w:val="center"/>
          </w:tcPr>
          <w:p w14:paraId="08232C5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spacing w:val="6"/>
                <w:sz w:val="21"/>
                <w:szCs w:val="21"/>
                <w:lang w:eastAsia="zh-CN"/>
              </w:rPr>
              <w:t>勘察设计BIM</w:t>
            </w:r>
            <w:r>
              <w:rPr>
                <w:rFonts w:hint="eastAsia"/>
                <w:spacing w:val="6"/>
                <w:sz w:val="21"/>
                <w:szCs w:val="21"/>
              </w:rPr>
              <w:t>模型</w:t>
            </w:r>
          </w:p>
        </w:tc>
        <w:tc>
          <w:tcPr>
            <w:tcW w:w="865" w:type="pct"/>
            <w:vAlign w:val="center"/>
          </w:tcPr>
          <w:p w14:paraId="4868E537">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地表地理信息模型</w:t>
            </w:r>
          </w:p>
        </w:tc>
        <w:tc>
          <w:tcPr>
            <w:tcW w:w="2599" w:type="pct"/>
            <w:gridSpan w:val="2"/>
            <w:tcBorders>
              <w:right w:val="single" w:color="000000" w:sz="4" w:space="0"/>
            </w:tcBorders>
            <w:vAlign w:val="center"/>
          </w:tcPr>
          <w:p w14:paraId="7B2E402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1.自然地物模型</w:t>
            </w:r>
            <w:r>
              <w:rPr>
                <w:rFonts w:hint="eastAsia"/>
                <w:color w:val="000000"/>
                <w:spacing w:val="-3"/>
                <w:sz w:val="21"/>
                <w:szCs w:val="21"/>
                <w:lang w:eastAsia="zh-CN"/>
              </w:rPr>
              <w:t>；</w:t>
            </w:r>
          </w:p>
          <w:p w14:paraId="385F00F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2.水底地形面模型</w:t>
            </w:r>
            <w:r>
              <w:rPr>
                <w:rFonts w:hint="eastAsia"/>
                <w:color w:val="000000"/>
                <w:spacing w:val="-3"/>
                <w:sz w:val="21"/>
                <w:szCs w:val="21"/>
                <w:lang w:eastAsia="zh-CN"/>
              </w:rPr>
              <w:t>；</w:t>
            </w:r>
          </w:p>
          <w:p w14:paraId="2FB4C89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3.植被模型</w:t>
            </w:r>
            <w:r>
              <w:rPr>
                <w:rFonts w:hint="eastAsia"/>
                <w:color w:val="000000"/>
                <w:spacing w:val="-3"/>
                <w:sz w:val="21"/>
                <w:szCs w:val="21"/>
                <w:lang w:eastAsia="zh-CN"/>
              </w:rPr>
              <w:t>；</w:t>
            </w:r>
          </w:p>
          <w:p w14:paraId="45801FE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4.地表既有工程体模型</w:t>
            </w:r>
            <w:r>
              <w:rPr>
                <w:rFonts w:hint="eastAsia"/>
                <w:color w:val="000000"/>
                <w:spacing w:val="-3"/>
                <w:sz w:val="21"/>
                <w:szCs w:val="21"/>
                <w:lang w:eastAsia="zh-CN"/>
              </w:rPr>
              <w:t>；</w:t>
            </w:r>
          </w:p>
          <w:p w14:paraId="5F557D1F">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5.线状交通设施模型；</w:t>
            </w:r>
          </w:p>
          <w:p w14:paraId="6DADE6A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6.人工地物模型。</w:t>
            </w:r>
          </w:p>
        </w:tc>
        <w:tc>
          <w:tcPr>
            <w:tcW w:w="338" w:type="pct"/>
            <w:tcBorders>
              <w:top w:val="single" w:color="000000" w:sz="4" w:space="0"/>
              <w:left w:val="single" w:color="000000" w:sz="4" w:space="0"/>
              <w:bottom w:val="single" w:color="000000" w:sz="4" w:space="0"/>
            </w:tcBorders>
            <w:vAlign w:val="center"/>
          </w:tcPr>
          <w:p w14:paraId="4377619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01485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continue"/>
            <w:tcBorders>
              <w:top w:val="single" w:color="auto" w:sz="4" w:space="0"/>
              <w:left w:val="single" w:color="auto" w:sz="4" w:space="0"/>
              <w:bottom w:val="single" w:color="auto" w:sz="4" w:space="0"/>
              <w:right w:val="single" w:color="auto" w:sz="4" w:space="0"/>
            </w:tcBorders>
            <w:vAlign w:val="center"/>
          </w:tcPr>
          <w:p w14:paraId="1EAE002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01" w:type="pct"/>
            <w:vMerge w:val="continue"/>
            <w:tcBorders>
              <w:left w:val="single" w:color="auto" w:sz="4" w:space="0"/>
            </w:tcBorders>
            <w:vAlign w:val="center"/>
          </w:tcPr>
          <w:p w14:paraId="1447AFCF">
            <w:pPr>
              <w:pStyle w:val="68"/>
              <w:spacing w:beforeLines="0" w:afterLines="0" w:line="240" w:lineRule="auto"/>
              <w:ind w:left="48" w:leftChars="20" w:right="48" w:rightChars="20" w:firstLine="0" w:firstLineChars="0"/>
              <w:jc w:val="center"/>
              <w:rPr>
                <w:rFonts w:hint="eastAsia"/>
                <w:spacing w:val="6"/>
                <w:sz w:val="21"/>
                <w:szCs w:val="21"/>
              </w:rPr>
            </w:pPr>
          </w:p>
        </w:tc>
        <w:tc>
          <w:tcPr>
            <w:tcW w:w="865" w:type="pct"/>
            <w:vMerge w:val="restart"/>
            <w:vAlign w:val="center"/>
          </w:tcPr>
          <w:p w14:paraId="1D30460F">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地下既有工程体信息模型</w:t>
            </w:r>
          </w:p>
        </w:tc>
        <w:tc>
          <w:tcPr>
            <w:tcW w:w="741" w:type="pct"/>
            <w:tcBorders>
              <w:right w:val="single" w:color="auto" w:sz="4" w:space="0"/>
            </w:tcBorders>
            <w:vAlign w:val="center"/>
          </w:tcPr>
          <w:p w14:paraId="5FFC6738">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地下既有建（构）筑物</w:t>
            </w:r>
          </w:p>
          <w:p w14:paraId="7110AAE7">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BIM模型</w:t>
            </w:r>
          </w:p>
        </w:tc>
        <w:tc>
          <w:tcPr>
            <w:tcW w:w="1858" w:type="pct"/>
            <w:tcBorders>
              <w:left w:val="single" w:color="auto" w:sz="4" w:space="0"/>
              <w:right w:val="single" w:color="000000" w:sz="4" w:space="0"/>
            </w:tcBorders>
            <w:vAlign w:val="center"/>
          </w:tcPr>
          <w:p w14:paraId="27795EC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基础、综合管廊、涵洞、电力隧道 （沟）、地下道路、轨道交通隧道、地下车站和地下建筑等。</w:t>
            </w:r>
          </w:p>
        </w:tc>
        <w:tc>
          <w:tcPr>
            <w:tcW w:w="338" w:type="pct"/>
            <w:tcBorders>
              <w:top w:val="single" w:color="000000" w:sz="4" w:space="0"/>
              <w:left w:val="single" w:color="000000" w:sz="4" w:space="0"/>
              <w:bottom w:val="single" w:color="000000" w:sz="4" w:space="0"/>
            </w:tcBorders>
            <w:vAlign w:val="center"/>
          </w:tcPr>
          <w:p w14:paraId="7635995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2E12E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continue"/>
            <w:tcBorders>
              <w:top w:val="single" w:color="auto" w:sz="4" w:space="0"/>
              <w:left w:val="single" w:color="auto" w:sz="4" w:space="0"/>
              <w:bottom w:val="single" w:color="auto" w:sz="4" w:space="0"/>
              <w:right w:val="single" w:color="auto" w:sz="4" w:space="0"/>
            </w:tcBorders>
            <w:vAlign w:val="center"/>
          </w:tcPr>
          <w:p w14:paraId="4F1A1A7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01" w:type="pct"/>
            <w:vMerge w:val="continue"/>
            <w:tcBorders>
              <w:left w:val="single" w:color="auto" w:sz="4" w:space="0"/>
            </w:tcBorders>
            <w:vAlign w:val="center"/>
          </w:tcPr>
          <w:p w14:paraId="37756C92">
            <w:pPr>
              <w:pStyle w:val="68"/>
              <w:spacing w:beforeLines="0" w:afterLines="0" w:line="240" w:lineRule="auto"/>
              <w:ind w:left="48" w:leftChars="20" w:right="48" w:rightChars="20" w:firstLine="0" w:firstLineChars="0"/>
              <w:jc w:val="center"/>
              <w:rPr>
                <w:rFonts w:hint="eastAsia"/>
                <w:spacing w:val="6"/>
                <w:sz w:val="21"/>
                <w:szCs w:val="21"/>
              </w:rPr>
            </w:pPr>
          </w:p>
        </w:tc>
        <w:tc>
          <w:tcPr>
            <w:tcW w:w="865" w:type="pct"/>
            <w:vMerge w:val="continue"/>
            <w:vAlign w:val="center"/>
          </w:tcPr>
          <w:p w14:paraId="2ED2E439">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p>
        </w:tc>
        <w:tc>
          <w:tcPr>
            <w:tcW w:w="741" w:type="pct"/>
            <w:vAlign w:val="center"/>
          </w:tcPr>
          <w:p w14:paraId="6B8A279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地下既有管线BIM模型</w:t>
            </w:r>
          </w:p>
        </w:tc>
        <w:tc>
          <w:tcPr>
            <w:tcW w:w="1858" w:type="pct"/>
            <w:tcBorders>
              <w:top w:val="single" w:color="000000" w:sz="4" w:space="0"/>
              <w:bottom w:val="single" w:color="000000" w:sz="4" w:space="0"/>
              <w:right w:val="single" w:color="000000" w:sz="4" w:space="0"/>
            </w:tcBorders>
            <w:vAlign w:val="center"/>
          </w:tcPr>
          <w:p w14:paraId="2E1E81C3">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给水管、雨水管、污水管、电力管、通信管、燃气 管、检查井和接线井等。</w:t>
            </w:r>
          </w:p>
        </w:tc>
        <w:tc>
          <w:tcPr>
            <w:tcW w:w="338" w:type="pct"/>
            <w:tcBorders>
              <w:top w:val="single" w:color="000000" w:sz="4" w:space="0"/>
              <w:left w:val="single" w:color="000000" w:sz="4" w:space="0"/>
              <w:bottom w:val="single" w:color="000000" w:sz="4" w:space="0"/>
            </w:tcBorders>
            <w:vAlign w:val="center"/>
          </w:tcPr>
          <w:p w14:paraId="6364D38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4D7D3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continue"/>
            <w:tcBorders>
              <w:top w:val="single" w:color="auto" w:sz="4" w:space="0"/>
              <w:left w:val="single" w:color="auto" w:sz="4" w:space="0"/>
              <w:bottom w:val="single" w:color="auto" w:sz="4" w:space="0"/>
              <w:right w:val="single" w:color="auto" w:sz="4" w:space="0"/>
            </w:tcBorders>
            <w:vAlign w:val="center"/>
          </w:tcPr>
          <w:p w14:paraId="266EAB9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01" w:type="pct"/>
            <w:vMerge w:val="continue"/>
            <w:tcBorders>
              <w:left w:val="single" w:color="auto" w:sz="4" w:space="0"/>
            </w:tcBorders>
            <w:vAlign w:val="center"/>
          </w:tcPr>
          <w:p w14:paraId="7EBA0DC1">
            <w:pPr>
              <w:pStyle w:val="68"/>
              <w:spacing w:beforeLines="0" w:afterLines="0" w:line="240" w:lineRule="auto"/>
              <w:ind w:left="48" w:leftChars="20" w:right="48" w:rightChars="20" w:firstLine="0" w:firstLineChars="0"/>
              <w:jc w:val="center"/>
              <w:rPr>
                <w:rFonts w:hint="eastAsia"/>
                <w:spacing w:val="6"/>
                <w:sz w:val="21"/>
                <w:szCs w:val="21"/>
              </w:rPr>
            </w:pPr>
          </w:p>
        </w:tc>
        <w:tc>
          <w:tcPr>
            <w:tcW w:w="865" w:type="pct"/>
            <w:vMerge w:val="restart"/>
            <w:vAlign w:val="center"/>
          </w:tcPr>
          <w:p w14:paraId="42AEAB0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地质信息模型</w:t>
            </w:r>
          </w:p>
        </w:tc>
        <w:tc>
          <w:tcPr>
            <w:tcW w:w="741" w:type="pct"/>
            <w:vAlign w:val="center"/>
          </w:tcPr>
          <w:p w14:paraId="41E35C58">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 xml:space="preserve"> 实体类</w:t>
            </w:r>
          </w:p>
          <w:p w14:paraId="4A5A7608">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BIM模型</w:t>
            </w:r>
          </w:p>
        </w:tc>
        <w:tc>
          <w:tcPr>
            <w:tcW w:w="1858" w:type="pct"/>
            <w:tcBorders>
              <w:top w:val="single" w:color="000000" w:sz="4" w:space="0"/>
              <w:bottom w:val="single" w:color="000000" w:sz="4" w:space="0"/>
              <w:right w:val="single" w:color="000000" w:sz="4" w:space="0"/>
            </w:tcBorders>
            <w:vAlign w:val="center"/>
          </w:tcPr>
          <w:p w14:paraId="0B6EF77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钻孔、探井、探槽、地质剖面、地层与岩体（带）、地质构造、 地下水、滑坡、溶洞、危岩体、崩塌体、泥石流体、孤石、地质调查点等。</w:t>
            </w:r>
          </w:p>
        </w:tc>
        <w:tc>
          <w:tcPr>
            <w:tcW w:w="338" w:type="pct"/>
            <w:tcBorders>
              <w:top w:val="single" w:color="000000" w:sz="4" w:space="0"/>
              <w:left w:val="single" w:color="000000" w:sz="4" w:space="0"/>
              <w:bottom w:val="single" w:color="000000" w:sz="4" w:space="0"/>
            </w:tcBorders>
            <w:vAlign w:val="center"/>
          </w:tcPr>
          <w:p w14:paraId="3B191D1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1B132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jc w:val="center"/>
        </w:trPr>
        <w:tc>
          <w:tcPr>
            <w:tcW w:w="394" w:type="pct"/>
            <w:vMerge w:val="continue"/>
            <w:tcBorders>
              <w:top w:val="single" w:color="auto" w:sz="4" w:space="0"/>
              <w:left w:val="single" w:color="auto" w:sz="4" w:space="0"/>
              <w:bottom w:val="single" w:color="auto" w:sz="4" w:space="0"/>
              <w:right w:val="single" w:color="auto" w:sz="4" w:space="0"/>
            </w:tcBorders>
            <w:vAlign w:val="center"/>
          </w:tcPr>
          <w:p w14:paraId="56D74BCD">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01" w:type="pct"/>
            <w:vMerge w:val="continue"/>
            <w:tcBorders>
              <w:left w:val="single" w:color="auto" w:sz="4" w:space="0"/>
            </w:tcBorders>
            <w:vAlign w:val="center"/>
          </w:tcPr>
          <w:p w14:paraId="1C83D25D">
            <w:pPr>
              <w:pStyle w:val="68"/>
              <w:spacing w:beforeLines="0" w:afterLines="0" w:line="240" w:lineRule="auto"/>
              <w:ind w:left="48" w:leftChars="20" w:right="48" w:rightChars="20" w:firstLine="0" w:firstLineChars="0"/>
              <w:jc w:val="center"/>
              <w:rPr>
                <w:rFonts w:hint="eastAsia"/>
                <w:spacing w:val="6"/>
                <w:sz w:val="21"/>
                <w:szCs w:val="21"/>
              </w:rPr>
            </w:pPr>
          </w:p>
        </w:tc>
        <w:tc>
          <w:tcPr>
            <w:tcW w:w="865" w:type="pct"/>
            <w:vMerge w:val="continue"/>
            <w:vAlign w:val="center"/>
          </w:tcPr>
          <w:p w14:paraId="0829F9E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p>
        </w:tc>
        <w:tc>
          <w:tcPr>
            <w:tcW w:w="741" w:type="pct"/>
            <w:vAlign w:val="center"/>
          </w:tcPr>
          <w:p w14:paraId="4D65BF28">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测试/试验类BIM模型</w:t>
            </w:r>
          </w:p>
        </w:tc>
        <w:tc>
          <w:tcPr>
            <w:tcW w:w="1858" w:type="pct"/>
            <w:tcBorders>
              <w:top w:val="single" w:color="000000" w:sz="4" w:space="0"/>
              <w:bottom w:val="single" w:color="000000" w:sz="4" w:space="0"/>
              <w:right w:val="single" w:color="000000" w:sz="4" w:space="0"/>
            </w:tcBorders>
            <w:vAlign w:val="center"/>
          </w:tcPr>
          <w:p w14:paraId="5363350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地质界线、采样点、土工试验、原位测试点、岩石试验、载 荷试验、静力触探试验、动力触探试验、标准贯入试验、十字板剪切试验、旁压试验、扁铲侧胀 试验、波速测试、岩体应力测试、水文地质试验等。</w:t>
            </w:r>
          </w:p>
        </w:tc>
        <w:tc>
          <w:tcPr>
            <w:tcW w:w="338" w:type="pct"/>
            <w:tcBorders>
              <w:top w:val="single" w:color="000000" w:sz="4" w:space="0"/>
              <w:left w:val="single" w:color="000000" w:sz="4" w:space="0"/>
              <w:bottom w:val="single" w:color="000000" w:sz="4" w:space="0"/>
            </w:tcBorders>
            <w:vAlign w:val="center"/>
          </w:tcPr>
          <w:p w14:paraId="1FF5282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bl>
    <w:p w14:paraId="1D778BEA">
      <w:pPr>
        <w:rPr>
          <w:rFonts w:cs="Times New Roman"/>
          <w:b/>
          <w:bCs/>
        </w:rPr>
      </w:pPr>
      <w:r>
        <w:rPr>
          <w:rFonts w:cs="Times New Roman"/>
          <w:b/>
          <w:bCs/>
        </w:rPr>
        <w:br w:type="page"/>
      </w:r>
    </w:p>
    <w:p w14:paraId="5F7178E8">
      <w:pPr>
        <w:spacing w:before="163" w:after="163"/>
        <w:ind w:firstLine="0" w:firstLineChars="0"/>
        <w:outlineLvl w:val="1"/>
        <w:rPr>
          <w:rFonts w:cs="Times New Roman"/>
          <w:b/>
          <w:bCs/>
        </w:rPr>
      </w:pPr>
      <w:bookmarkStart w:id="71" w:name="_Toc11825"/>
      <w:r>
        <w:rPr>
          <w:rFonts w:cs="Times New Roman"/>
          <w:b/>
          <w:bCs/>
        </w:rPr>
        <w:t>A.</w:t>
      </w:r>
      <w:r>
        <w:rPr>
          <w:rFonts w:hint="eastAsia" w:cs="Times New Roman"/>
          <w:b/>
          <w:bCs/>
        </w:rPr>
        <w:t>2</w:t>
      </w:r>
      <w:r>
        <w:rPr>
          <w:rFonts w:cs="Times New Roman"/>
          <w:b/>
          <w:bCs/>
        </w:rPr>
        <w:t>设计阶段交付物要求</w:t>
      </w:r>
      <w:bookmarkEnd w:id="71"/>
    </w:p>
    <w:p w14:paraId="1F383779">
      <w:pPr>
        <w:spacing w:before="163" w:after="163"/>
        <w:ind w:firstLine="422"/>
        <w:jc w:val="center"/>
        <w:rPr>
          <w:rFonts w:hint="eastAsia" w:ascii="宋体" w:hAnsi="宋体" w:cs="宋体"/>
          <w:b/>
          <w:bCs/>
          <w:sz w:val="21"/>
          <w:szCs w:val="21"/>
        </w:rPr>
      </w:pPr>
      <w:r>
        <w:rPr>
          <w:rFonts w:hint="eastAsia" w:ascii="宋体" w:hAnsi="宋体" w:cs="宋体"/>
          <w:b/>
          <w:bCs/>
          <w:sz w:val="21"/>
          <w:szCs w:val="21"/>
          <w:lang w:val="en-US" w:eastAsia="zh-CN"/>
        </w:rPr>
        <w:t>表</w:t>
      </w:r>
      <w:r>
        <w:rPr>
          <w:rFonts w:hint="eastAsia" w:ascii="宋体" w:hAnsi="宋体" w:cs="宋体"/>
          <w:b/>
          <w:bCs/>
          <w:sz w:val="21"/>
          <w:szCs w:val="21"/>
        </w:rPr>
        <w:t>A.2 设计阶段交付物要求</w:t>
      </w:r>
    </w:p>
    <w:tbl>
      <w:tblPr>
        <w:tblStyle w:val="67"/>
        <w:tblW w:w="51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43"/>
        <w:gridCol w:w="1304"/>
        <w:gridCol w:w="1492"/>
        <w:gridCol w:w="1234"/>
        <w:gridCol w:w="3181"/>
        <w:gridCol w:w="598"/>
      </w:tblGrid>
      <w:tr w14:paraId="23BC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434" w:type="pct"/>
            <w:vAlign w:val="center"/>
          </w:tcPr>
          <w:p w14:paraId="4AB4D29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BIM应用阶段</w:t>
            </w:r>
          </w:p>
        </w:tc>
        <w:tc>
          <w:tcPr>
            <w:tcW w:w="762" w:type="pct"/>
            <w:vAlign w:val="center"/>
          </w:tcPr>
          <w:p w14:paraId="1600604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w:t>
            </w:r>
          </w:p>
          <w:p w14:paraId="277925D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内容</w:t>
            </w:r>
          </w:p>
        </w:tc>
        <w:tc>
          <w:tcPr>
            <w:tcW w:w="872" w:type="pct"/>
            <w:vAlign w:val="center"/>
          </w:tcPr>
          <w:p w14:paraId="6DAE1BA5">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BIM应用子项（应用点）</w:t>
            </w:r>
          </w:p>
        </w:tc>
        <w:tc>
          <w:tcPr>
            <w:tcW w:w="2580" w:type="pct"/>
            <w:gridSpan w:val="2"/>
            <w:vAlign w:val="center"/>
          </w:tcPr>
          <w:p w14:paraId="4B67880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BIM应用交付物</w:t>
            </w:r>
          </w:p>
        </w:tc>
        <w:tc>
          <w:tcPr>
            <w:tcW w:w="349" w:type="pct"/>
            <w:vAlign w:val="center"/>
          </w:tcPr>
          <w:p w14:paraId="5DDA040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交付</w:t>
            </w:r>
          </w:p>
          <w:p w14:paraId="0FDA579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物类</w:t>
            </w:r>
          </w:p>
          <w:p w14:paraId="465E1E4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型</w:t>
            </w:r>
          </w:p>
        </w:tc>
      </w:tr>
      <w:tr w14:paraId="0560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restart"/>
            <w:vAlign w:val="center"/>
          </w:tcPr>
          <w:p w14:paraId="13152CA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设计</w:t>
            </w:r>
          </w:p>
          <w:p w14:paraId="2E5F3A8B">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阶段</w:t>
            </w:r>
          </w:p>
          <w:p w14:paraId="1655B699">
            <w:pPr>
              <w:pStyle w:val="68"/>
              <w:spacing w:beforeLines="0" w:afterLines="0" w:line="240" w:lineRule="auto"/>
              <w:ind w:left="0" w:leftChars="0" w:right="48" w:rightChars="20" w:firstLine="0" w:firstLineChars="0"/>
              <w:jc w:val="both"/>
              <w:rPr>
                <w:rFonts w:hint="eastAsia"/>
                <w:color w:val="000000"/>
                <w:spacing w:val="-3"/>
                <w:sz w:val="21"/>
                <w:szCs w:val="21"/>
                <w:lang w:eastAsia="zh-CN"/>
              </w:rPr>
            </w:pPr>
          </w:p>
        </w:tc>
        <w:tc>
          <w:tcPr>
            <w:tcW w:w="762" w:type="pct"/>
            <w:vAlign w:val="center"/>
          </w:tcPr>
          <w:p w14:paraId="714AC5B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总平面</w:t>
            </w:r>
          </w:p>
          <w:p w14:paraId="5C90489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设计</w:t>
            </w:r>
          </w:p>
        </w:tc>
        <w:tc>
          <w:tcPr>
            <w:tcW w:w="872" w:type="pct"/>
            <w:vAlign w:val="center"/>
          </w:tcPr>
          <w:p w14:paraId="263E72F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场地设计</w:t>
            </w:r>
          </w:p>
        </w:tc>
        <w:tc>
          <w:tcPr>
            <w:tcW w:w="721" w:type="pct"/>
            <w:vAlign w:val="center"/>
          </w:tcPr>
          <w:p w14:paraId="44CE70C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场地设计</w:t>
            </w:r>
          </w:p>
          <w:p w14:paraId="3ECA9CA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BIM模型</w:t>
            </w:r>
          </w:p>
        </w:tc>
        <w:tc>
          <w:tcPr>
            <w:tcW w:w="1859" w:type="pct"/>
            <w:vAlign w:val="center"/>
          </w:tcPr>
          <w:p w14:paraId="7DE96CC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道路铺面、道路路缘与排水沟、道路附件、道路照明、停车场路面、停车场路肩和排水沟、停车场附件、停车场照明、外部停车控制设备、人行道及附属设施、场地附属设施、室外管线等。</w:t>
            </w:r>
          </w:p>
        </w:tc>
        <w:tc>
          <w:tcPr>
            <w:tcW w:w="349" w:type="pct"/>
            <w:vAlign w:val="center"/>
          </w:tcPr>
          <w:p w14:paraId="7EFE85D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56F2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6FDC18F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restart"/>
            <w:vAlign w:val="center"/>
          </w:tcPr>
          <w:p w14:paraId="69B693F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施工图</w:t>
            </w:r>
          </w:p>
          <w:p w14:paraId="1C58769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设计</w:t>
            </w:r>
          </w:p>
        </w:tc>
        <w:tc>
          <w:tcPr>
            <w:tcW w:w="872" w:type="pct"/>
            <w:vMerge w:val="restart"/>
            <w:vAlign w:val="center"/>
          </w:tcPr>
          <w:p w14:paraId="08C9D68C">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各专业BIM</w:t>
            </w:r>
          </w:p>
          <w:p w14:paraId="423876FA">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模型及出图</w:t>
            </w:r>
          </w:p>
        </w:tc>
        <w:tc>
          <w:tcPr>
            <w:tcW w:w="721" w:type="pct"/>
            <w:vAlign w:val="center"/>
          </w:tcPr>
          <w:p w14:paraId="0B391E8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lang w:eastAsia="zh-CN"/>
              </w:rPr>
              <w:t>建筑</w:t>
            </w:r>
            <w:r>
              <w:rPr>
                <w:rFonts w:hint="eastAsia"/>
                <w:color w:val="000000"/>
                <w:spacing w:val="-3"/>
                <w:sz w:val="21"/>
                <w:szCs w:val="21"/>
              </w:rPr>
              <w:t>专业BIM模型</w:t>
            </w:r>
          </w:p>
        </w:tc>
        <w:tc>
          <w:tcPr>
            <w:tcW w:w="1859" w:type="pct"/>
            <w:vAlign w:val="center"/>
          </w:tcPr>
          <w:p w14:paraId="2955D6E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建筑外墙、建筑内墙、建筑柱、门/窗、屋顶、楼/地面、顶棚、楼梯、坡道/台阶、散水与明沟、栏杆、雨棚、阳台、楼台变形缝等。</w:t>
            </w:r>
          </w:p>
        </w:tc>
        <w:tc>
          <w:tcPr>
            <w:tcW w:w="349" w:type="pct"/>
            <w:vAlign w:val="center"/>
          </w:tcPr>
          <w:p w14:paraId="5D210612">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模型文件</w:t>
            </w:r>
          </w:p>
        </w:tc>
      </w:tr>
      <w:tr w14:paraId="0A56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3C54855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118C129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45B1858B">
            <w:pPr>
              <w:pStyle w:val="68"/>
              <w:spacing w:beforeLines="0" w:afterLines="0" w:line="240" w:lineRule="auto"/>
              <w:ind w:right="48" w:rightChars="20" w:firstLine="0" w:firstLineChars="0"/>
              <w:jc w:val="center"/>
              <w:rPr>
                <w:rFonts w:hint="eastAsia"/>
                <w:color w:val="000000"/>
                <w:spacing w:val="-3"/>
                <w:sz w:val="21"/>
                <w:szCs w:val="21"/>
              </w:rPr>
            </w:pPr>
          </w:p>
        </w:tc>
        <w:tc>
          <w:tcPr>
            <w:tcW w:w="721" w:type="pct"/>
            <w:vAlign w:val="center"/>
          </w:tcPr>
          <w:p w14:paraId="465CEDC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lang w:eastAsia="zh-CN"/>
              </w:rPr>
              <w:t>建筑</w:t>
            </w:r>
            <w:r>
              <w:rPr>
                <w:rFonts w:hint="eastAsia"/>
                <w:color w:val="000000"/>
                <w:spacing w:val="-3"/>
                <w:sz w:val="21"/>
                <w:szCs w:val="21"/>
              </w:rPr>
              <w:t>专业</w:t>
            </w:r>
          </w:p>
          <w:p w14:paraId="761BB62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rPr>
              <w:t>BIM</w:t>
            </w:r>
            <w:r>
              <w:rPr>
                <w:rFonts w:hint="eastAsia"/>
                <w:color w:val="000000"/>
                <w:spacing w:val="-3"/>
                <w:sz w:val="21"/>
                <w:szCs w:val="21"/>
                <w:lang w:eastAsia="zh-CN"/>
              </w:rPr>
              <w:t>图纸</w:t>
            </w:r>
          </w:p>
        </w:tc>
        <w:tc>
          <w:tcPr>
            <w:tcW w:w="1859" w:type="pct"/>
            <w:vAlign w:val="center"/>
          </w:tcPr>
          <w:p w14:paraId="2028BAFC">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559A18E8">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2.设计说明；</w:t>
            </w:r>
          </w:p>
          <w:p w14:paraId="13BA6170">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3.总平面图；</w:t>
            </w:r>
          </w:p>
          <w:p w14:paraId="7038C167">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4.平面图；</w:t>
            </w:r>
          </w:p>
          <w:p w14:paraId="4C6083B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5.立面图；</w:t>
            </w:r>
          </w:p>
          <w:p w14:paraId="2DA970D3">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6.剖面图；</w:t>
            </w:r>
          </w:p>
          <w:p w14:paraId="585A1FB9">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7.建筑详图（厨厕详图、屋顶详图、外墙身详图、楼梯详图、门窗详图、安装节点详图等）。</w:t>
            </w:r>
          </w:p>
        </w:tc>
        <w:tc>
          <w:tcPr>
            <w:tcW w:w="349" w:type="pct"/>
            <w:vAlign w:val="center"/>
          </w:tcPr>
          <w:p w14:paraId="147FEA9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图形文件</w:t>
            </w:r>
          </w:p>
        </w:tc>
      </w:tr>
      <w:tr w14:paraId="3D54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458BCE5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1F77A16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4B77659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3E818A7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lang w:eastAsia="zh-CN"/>
              </w:rPr>
              <w:t>结构</w:t>
            </w:r>
            <w:r>
              <w:rPr>
                <w:rFonts w:hint="eastAsia"/>
                <w:color w:val="000000"/>
                <w:spacing w:val="-3"/>
                <w:sz w:val="21"/>
                <w:szCs w:val="21"/>
              </w:rPr>
              <w:t>专业</w:t>
            </w:r>
          </w:p>
          <w:p w14:paraId="0AAA59B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BIM模型</w:t>
            </w:r>
          </w:p>
        </w:tc>
        <w:tc>
          <w:tcPr>
            <w:tcW w:w="1859" w:type="pct"/>
            <w:vAlign w:val="center"/>
          </w:tcPr>
          <w:p w14:paraId="4441855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独立基础、条形基础、筏板基础、桩基础、防水板、承台、挡土墙等。</w:t>
            </w:r>
          </w:p>
          <w:p w14:paraId="20A4769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结构基础构件、基础垫层、连接构造、埋件等。混凝土梁、混凝土板、混凝土柱、混凝土墙等。钢柱、钢梁、钢骨梁、钢骨柱、钢结构杆件、拉索，钢结构节点等。</w:t>
            </w:r>
          </w:p>
        </w:tc>
        <w:tc>
          <w:tcPr>
            <w:tcW w:w="349" w:type="pct"/>
            <w:vAlign w:val="center"/>
          </w:tcPr>
          <w:p w14:paraId="6065D2C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27F8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76F47003">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1A7A2CB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5C12F5B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5E689FD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lang w:eastAsia="zh-CN"/>
              </w:rPr>
              <w:t>结构</w:t>
            </w:r>
            <w:r>
              <w:rPr>
                <w:rFonts w:hint="eastAsia"/>
                <w:color w:val="000000"/>
                <w:spacing w:val="-3"/>
                <w:sz w:val="21"/>
                <w:szCs w:val="21"/>
              </w:rPr>
              <w:t>专业</w:t>
            </w:r>
          </w:p>
          <w:p w14:paraId="6EC9678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w:t>
            </w:r>
            <w:r>
              <w:rPr>
                <w:rFonts w:hint="eastAsia"/>
                <w:color w:val="000000"/>
                <w:spacing w:val="-3"/>
                <w:sz w:val="21"/>
                <w:szCs w:val="21"/>
                <w:lang w:eastAsia="zh-CN"/>
              </w:rPr>
              <w:t>图纸</w:t>
            </w:r>
          </w:p>
        </w:tc>
        <w:tc>
          <w:tcPr>
            <w:tcW w:w="1859" w:type="pct"/>
            <w:vAlign w:val="center"/>
          </w:tcPr>
          <w:p w14:paraId="3F949CA0">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43497B2B">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2.设计说明；</w:t>
            </w:r>
          </w:p>
          <w:p w14:paraId="750700AD">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3.基础平面图、基础详图；</w:t>
            </w:r>
          </w:p>
          <w:p w14:paraId="28B1E7C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4.结构平面图（楼层结构平面图～屋顶结构平面图）；</w:t>
            </w:r>
          </w:p>
          <w:p w14:paraId="4C16A686">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5.构件详图（楼梯结构施工图～现浇构件配筋图）。</w:t>
            </w:r>
          </w:p>
        </w:tc>
        <w:tc>
          <w:tcPr>
            <w:tcW w:w="349" w:type="pct"/>
            <w:vAlign w:val="center"/>
          </w:tcPr>
          <w:p w14:paraId="1BFF309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图形文件</w:t>
            </w:r>
          </w:p>
        </w:tc>
      </w:tr>
      <w:tr w14:paraId="3AA0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03687DB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5AAA81F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5A48769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28FB1A0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sz w:val="21"/>
                <w:szCs w:val="21"/>
                <w:lang w:val="zh-CN"/>
              </w:rPr>
              <w:t>电气</w:t>
            </w:r>
            <w:r>
              <w:rPr>
                <w:rFonts w:hint="eastAsia"/>
                <w:color w:val="000000"/>
                <w:spacing w:val="-3"/>
                <w:sz w:val="21"/>
                <w:szCs w:val="21"/>
              </w:rPr>
              <w:t>专业</w:t>
            </w:r>
          </w:p>
          <w:p w14:paraId="4421A8AD">
            <w:pPr>
              <w:pStyle w:val="68"/>
              <w:spacing w:beforeLines="0" w:afterLines="0" w:line="240" w:lineRule="auto"/>
              <w:ind w:left="48" w:leftChars="20" w:right="48" w:rightChars="20" w:firstLine="0" w:firstLineChars="0"/>
              <w:jc w:val="center"/>
              <w:rPr>
                <w:rFonts w:hint="eastAsia"/>
                <w:sz w:val="21"/>
                <w:szCs w:val="21"/>
                <w:lang w:val="zh-CN"/>
              </w:rPr>
            </w:pPr>
            <w:r>
              <w:rPr>
                <w:rFonts w:hint="eastAsia"/>
                <w:color w:val="000000"/>
                <w:spacing w:val="-3"/>
                <w:sz w:val="21"/>
                <w:szCs w:val="21"/>
              </w:rPr>
              <w:t>BIM模型</w:t>
            </w:r>
          </w:p>
        </w:tc>
        <w:tc>
          <w:tcPr>
            <w:tcW w:w="1859" w:type="pct"/>
            <w:vAlign w:val="center"/>
          </w:tcPr>
          <w:p w14:paraId="5A50C88B">
            <w:pPr>
              <w:pStyle w:val="68"/>
              <w:spacing w:beforeLines="0" w:afterLines="0" w:line="240" w:lineRule="auto"/>
              <w:ind w:left="48" w:leftChars="20" w:right="48" w:rightChars="20" w:firstLine="0" w:firstLineChars="0"/>
              <w:rPr>
                <w:rFonts w:hint="eastAsia"/>
                <w:color w:val="000000"/>
                <w:spacing w:val="-3"/>
                <w:sz w:val="21"/>
                <w:szCs w:val="21"/>
              </w:rPr>
            </w:pPr>
            <w:r>
              <w:rPr>
                <w:rFonts w:hint="eastAsia"/>
                <w:color w:val="000000"/>
                <w:spacing w:val="-3"/>
                <w:sz w:val="21"/>
                <w:szCs w:val="21"/>
                <w:lang w:eastAsia="zh-CN"/>
              </w:rPr>
              <w:t>配电箱、控制箱、配电装置、电力电容器装置、直流屏、信号屏等。照明灯具、照明供电设备、照明配电线路、照明控制设备、消防应急照明和疏散指示设备等。自备应急柴油发电机组、应急电源装</w:t>
            </w:r>
            <w:r>
              <w:rPr>
                <w:rFonts w:hint="eastAsia"/>
                <w:color w:val="000000"/>
                <w:spacing w:val="-3"/>
                <w:sz w:val="21"/>
                <w:szCs w:val="21"/>
                <w:lang w:val="en-US" w:eastAsia="zh-CN"/>
              </w:rPr>
              <w:t>置</w:t>
            </w:r>
            <w:r>
              <w:rPr>
                <w:rFonts w:hint="eastAsia"/>
                <w:color w:val="000000"/>
                <w:spacing w:val="-3"/>
                <w:sz w:val="21"/>
                <w:szCs w:val="21"/>
                <w:lang w:eastAsia="zh-CN"/>
              </w:rPr>
              <w:t>(EPS)、不间断电源装置(UPS)等。低压电器、低压配电线路、成套控制装置、电气系统器件等。</w:t>
            </w:r>
            <w:r>
              <w:rPr>
                <w:rFonts w:hint="eastAsia"/>
                <w:color w:val="000000"/>
                <w:spacing w:val="-3"/>
                <w:sz w:val="21"/>
                <w:szCs w:val="21"/>
              </w:rPr>
              <w:t>各系统所属系统、线缆、设备等。</w:t>
            </w:r>
          </w:p>
        </w:tc>
        <w:tc>
          <w:tcPr>
            <w:tcW w:w="349" w:type="pct"/>
            <w:vAlign w:val="center"/>
          </w:tcPr>
          <w:p w14:paraId="682A523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63D8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47D9146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6DF0E02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4CD31F9D">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5A70AAC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电气专业</w:t>
            </w:r>
          </w:p>
          <w:p w14:paraId="2F540E2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BIM图纸</w:t>
            </w:r>
          </w:p>
        </w:tc>
        <w:tc>
          <w:tcPr>
            <w:tcW w:w="1859" w:type="pct"/>
            <w:vAlign w:val="center"/>
          </w:tcPr>
          <w:p w14:paraId="46AFA5B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5B7441A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2.设计说明；</w:t>
            </w:r>
          </w:p>
          <w:p w14:paraId="16069E86">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3.设备材料表；</w:t>
            </w:r>
          </w:p>
          <w:p w14:paraId="16FC36C6">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4.设备布置平面图及详图；</w:t>
            </w:r>
          </w:p>
          <w:p w14:paraId="64CE175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5.配电、照明平面图；</w:t>
            </w:r>
          </w:p>
          <w:p w14:paraId="5161E3B5">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6.消防控制室设备布置平面及详图；</w:t>
            </w:r>
          </w:p>
          <w:p w14:paraId="336969B3">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7.机房或设备布置详图。</w:t>
            </w:r>
          </w:p>
        </w:tc>
        <w:tc>
          <w:tcPr>
            <w:tcW w:w="349" w:type="pct"/>
            <w:vAlign w:val="center"/>
          </w:tcPr>
          <w:p w14:paraId="6E08D4C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图形文件</w:t>
            </w:r>
          </w:p>
        </w:tc>
      </w:tr>
      <w:tr w14:paraId="4637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750E5BFD">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42EBDCB7">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6D7F303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4369C915">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sz w:val="21"/>
                <w:szCs w:val="21"/>
                <w:lang w:val="zh-CN" w:eastAsia="zh-CN"/>
              </w:rPr>
              <w:t>给排水</w:t>
            </w:r>
            <w:r>
              <w:rPr>
                <w:rFonts w:hint="eastAsia"/>
                <w:color w:val="000000"/>
                <w:spacing w:val="-3"/>
                <w:sz w:val="21"/>
                <w:szCs w:val="21"/>
                <w:lang w:eastAsia="zh-CN"/>
              </w:rPr>
              <w:t>专业</w:t>
            </w:r>
          </w:p>
          <w:p w14:paraId="4C540478">
            <w:pPr>
              <w:pStyle w:val="68"/>
              <w:spacing w:beforeLines="0" w:afterLines="0" w:line="240" w:lineRule="auto"/>
              <w:ind w:left="48" w:leftChars="20" w:right="48" w:rightChars="20" w:firstLine="0" w:firstLineChars="0"/>
              <w:jc w:val="center"/>
              <w:rPr>
                <w:rFonts w:hint="eastAsia"/>
                <w:sz w:val="21"/>
                <w:szCs w:val="21"/>
                <w:lang w:eastAsia="zh-CN"/>
              </w:rPr>
            </w:pPr>
            <w:r>
              <w:rPr>
                <w:rFonts w:hint="eastAsia"/>
                <w:color w:val="000000"/>
                <w:spacing w:val="-3"/>
                <w:sz w:val="21"/>
                <w:szCs w:val="21"/>
                <w:lang w:eastAsia="zh-CN"/>
              </w:rPr>
              <w:t>BIM模型</w:t>
            </w:r>
          </w:p>
        </w:tc>
        <w:tc>
          <w:tcPr>
            <w:tcW w:w="1859" w:type="pct"/>
            <w:vAlign w:val="center"/>
          </w:tcPr>
          <w:p w14:paraId="4E3C414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水箱、加压设备等。热水器、换热器、太阳能集热设备、热水机组、热泵机组等。提升设备、隔油设备等。软化水设备、过滤设备、膜处理设备、污、废水处理设备、雨水回收利用设备，消毒设备等。消防水泵、高位消防水箱、稳压泵、消防增压稳压给水设备、消防水泵接合器、消火栓、喷头、报警阀组、水流指示器、试水装置、减压孔板、大空间智能型主动喷水灭火装置、固定消防炮、细水雾灭火设备、气体灭火设备、泡沫灭火设备、消防器材、消防水池等。管道、阀门、仪表、过滤器、旋流防止器、吸水喇叭口、波纹补偿器、可曲挠橡胶接头、金属软管、存水弯、清扫口、检查口、通气帽、雨水斗、套管、支吊架等。</w:t>
            </w:r>
          </w:p>
        </w:tc>
        <w:tc>
          <w:tcPr>
            <w:tcW w:w="349" w:type="pct"/>
            <w:vAlign w:val="center"/>
          </w:tcPr>
          <w:p w14:paraId="78A0A71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28CE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49B83CA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3BFC381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5600F7F7">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7E35933F">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给水排水</w:t>
            </w:r>
          </w:p>
          <w:p w14:paraId="685ED3E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专业</w:t>
            </w:r>
          </w:p>
          <w:p w14:paraId="18F3C359">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BIM图纸</w:t>
            </w:r>
          </w:p>
        </w:tc>
        <w:tc>
          <w:tcPr>
            <w:tcW w:w="1859" w:type="pct"/>
            <w:vAlign w:val="center"/>
          </w:tcPr>
          <w:p w14:paraId="5A99E7ED">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5D634A95">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2.设计说明；</w:t>
            </w:r>
          </w:p>
          <w:p w14:paraId="45312E0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3.设备材料表；</w:t>
            </w:r>
          </w:p>
          <w:p w14:paraId="0ABF1AE9">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4.建筑小区（室外）给水排水；</w:t>
            </w:r>
          </w:p>
          <w:p w14:paraId="60780CB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5.总平面图；</w:t>
            </w:r>
          </w:p>
          <w:p w14:paraId="788DECC0">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6.建筑室内给水排水平面图；</w:t>
            </w:r>
          </w:p>
          <w:p w14:paraId="77C07B2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7.水塔（箱）、水池配管图；</w:t>
            </w:r>
          </w:p>
          <w:p w14:paraId="2E40AB15">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8.水泵房平面、剖面布置详图；</w:t>
            </w:r>
          </w:p>
          <w:p w14:paraId="01F0157B">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9.给水排水系统图；</w:t>
            </w:r>
          </w:p>
          <w:p w14:paraId="7274C2C8">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10.给水排水局部详图。</w:t>
            </w:r>
          </w:p>
        </w:tc>
        <w:tc>
          <w:tcPr>
            <w:tcW w:w="349" w:type="pct"/>
            <w:vAlign w:val="center"/>
          </w:tcPr>
          <w:p w14:paraId="04616E3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图形文件</w:t>
            </w:r>
          </w:p>
        </w:tc>
      </w:tr>
      <w:tr w14:paraId="4686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04ACFAB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7B19E9C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2C299DAE">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5392ECC2">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sz w:val="21"/>
                <w:szCs w:val="21"/>
                <w:lang w:val="zh-CN"/>
              </w:rPr>
              <w:t>暖通</w:t>
            </w:r>
            <w:r>
              <w:rPr>
                <w:rFonts w:hint="eastAsia"/>
                <w:color w:val="000000"/>
                <w:spacing w:val="-3"/>
                <w:sz w:val="21"/>
                <w:szCs w:val="21"/>
              </w:rPr>
              <w:t>专业</w:t>
            </w:r>
          </w:p>
          <w:p w14:paraId="4691B26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BIM模型</w:t>
            </w:r>
          </w:p>
        </w:tc>
        <w:tc>
          <w:tcPr>
            <w:tcW w:w="1859" w:type="pct"/>
            <w:vAlign w:val="center"/>
          </w:tcPr>
          <w:p w14:paraId="5E770BA3">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冷水机组、溴化锂吸收式机组、换热设备、热泵、锅炉、单元式热水设备、蓄热蓄冷装置等。冷却塔、水泵、膨胀水箱、自动补水定压装置、软化水器、集分水器等。散热器、暖风机、热空气幕、空气加湿器等。风机、换气扇、风幕、除尘器等。组合式空调机组、新风热交换器、新风处理机组、风机盘管、变风量末端、多联式空调机组、房间空调器、单元式空调机、冷冻除湿机组、加湿器、精密空调机、空气净化装置等。管道、风管、风口、阀门、集气罐、热量表、消声器、补偿器、仪表、管道支撑件、设备隔振等。</w:t>
            </w:r>
          </w:p>
        </w:tc>
        <w:tc>
          <w:tcPr>
            <w:tcW w:w="349" w:type="pct"/>
            <w:vAlign w:val="center"/>
          </w:tcPr>
          <w:p w14:paraId="180658B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13E2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2168E2A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4FCB8C5D">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4ED49D0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4D982BA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暖通专业</w:t>
            </w:r>
          </w:p>
          <w:p w14:paraId="61D02612">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BIM图纸</w:t>
            </w:r>
          </w:p>
        </w:tc>
        <w:tc>
          <w:tcPr>
            <w:tcW w:w="1859" w:type="pct"/>
            <w:vAlign w:val="center"/>
          </w:tcPr>
          <w:p w14:paraId="09517069">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145226E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2.设计说明；</w:t>
            </w:r>
          </w:p>
          <w:p w14:paraId="2EAABBE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3.设备材料表；</w:t>
            </w:r>
          </w:p>
          <w:p w14:paraId="66F6E31B">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4.防排烟平面图及详图；</w:t>
            </w:r>
          </w:p>
          <w:p w14:paraId="28737560">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5.通风、空调、制冷机房平面图及详图；</w:t>
            </w:r>
          </w:p>
          <w:p w14:paraId="706AB34C">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6.局部平面放大图；</w:t>
            </w:r>
          </w:p>
          <w:p w14:paraId="486D592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7.节点详图。</w:t>
            </w:r>
          </w:p>
        </w:tc>
        <w:tc>
          <w:tcPr>
            <w:tcW w:w="349" w:type="pct"/>
            <w:vAlign w:val="center"/>
          </w:tcPr>
          <w:p w14:paraId="26011DD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图形文件</w:t>
            </w:r>
          </w:p>
        </w:tc>
      </w:tr>
      <w:tr w14:paraId="20DC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0" w:hRule="atLeast"/>
          <w:jc w:val="center"/>
        </w:trPr>
        <w:tc>
          <w:tcPr>
            <w:tcW w:w="434" w:type="pct"/>
            <w:vMerge w:val="continue"/>
            <w:vAlign w:val="center"/>
          </w:tcPr>
          <w:p w14:paraId="691F4BB3">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70A7F7A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Align w:val="center"/>
          </w:tcPr>
          <w:p w14:paraId="76D3C10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净高分析</w:t>
            </w:r>
          </w:p>
        </w:tc>
        <w:tc>
          <w:tcPr>
            <w:tcW w:w="721" w:type="pct"/>
            <w:vAlign w:val="center"/>
          </w:tcPr>
          <w:p w14:paraId="34A0951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净高分析</w:t>
            </w:r>
          </w:p>
          <w:p w14:paraId="0F8456B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报告</w:t>
            </w:r>
          </w:p>
        </w:tc>
        <w:tc>
          <w:tcPr>
            <w:tcW w:w="1859" w:type="pct"/>
            <w:vAlign w:val="center"/>
          </w:tcPr>
          <w:p w14:paraId="62FF8FA2">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1.包含不满足净高要求的节点位置，及优化建议方案；</w:t>
            </w:r>
          </w:p>
          <w:p w14:paraId="01361BF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2.空间最低点净高分析；</w:t>
            </w:r>
          </w:p>
          <w:p w14:paraId="13DA70C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3.空间最高点净高分析；</w:t>
            </w:r>
          </w:p>
          <w:p w14:paraId="3E242FD2">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4.</w:t>
            </w:r>
            <w:r>
              <w:rPr>
                <w:rFonts w:hint="eastAsia"/>
                <w:color w:val="000000"/>
                <w:spacing w:val="-3"/>
                <w:sz w:val="21"/>
                <w:szCs w:val="21"/>
              </w:rPr>
              <w:t>净高优化建议</w:t>
            </w:r>
            <w:r>
              <w:rPr>
                <w:rFonts w:hint="eastAsia"/>
                <w:color w:val="000000"/>
                <w:spacing w:val="-3"/>
                <w:sz w:val="21"/>
                <w:szCs w:val="21"/>
                <w:lang w:eastAsia="zh-CN"/>
              </w:rPr>
              <w:t>。</w:t>
            </w:r>
          </w:p>
        </w:tc>
        <w:tc>
          <w:tcPr>
            <w:tcW w:w="349" w:type="pct"/>
            <w:vAlign w:val="center"/>
          </w:tcPr>
          <w:p w14:paraId="0D4B67D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文本文件</w:t>
            </w:r>
          </w:p>
        </w:tc>
      </w:tr>
      <w:tr w14:paraId="386C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0" w:hRule="atLeast"/>
          <w:jc w:val="center"/>
        </w:trPr>
        <w:tc>
          <w:tcPr>
            <w:tcW w:w="434" w:type="pct"/>
            <w:vMerge w:val="continue"/>
            <w:vAlign w:val="center"/>
          </w:tcPr>
          <w:p w14:paraId="4157F9D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671937B3">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Align w:val="center"/>
          </w:tcPr>
          <w:p w14:paraId="4D7AB281">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碰撞检查及室内外管线综合</w:t>
            </w:r>
          </w:p>
        </w:tc>
        <w:tc>
          <w:tcPr>
            <w:tcW w:w="721" w:type="pct"/>
            <w:vAlign w:val="center"/>
          </w:tcPr>
          <w:p w14:paraId="771EEEF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碰撞检测</w:t>
            </w:r>
          </w:p>
          <w:p w14:paraId="78C1FCA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报告</w:t>
            </w:r>
          </w:p>
        </w:tc>
        <w:tc>
          <w:tcPr>
            <w:tcW w:w="1859" w:type="pct"/>
            <w:vAlign w:val="center"/>
          </w:tcPr>
          <w:p w14:paraId="45066FC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1.包含碰撞内容的节点位置，并提出调整建议提交责任方审定与调整；</w:t>
            </w:r>
          </w:p>
          <w:p w14:paraId="22FC0349">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2.各专业碰撞检测结果；</w:t>
            </w:r>
          </w:p>
          <w:p w14:paraId="3916CC01">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3.碰撞检测优化建议。</w:t>
            </w:r>
          </w:p>
        </w:tc>
        <w:tc>
          <w:tcPr>
            <w:tcW w:w="349" w:type="pct"/>
            <w:vAlign w:val="center"/>
          </w:tcPr>
          <w:p w14:paraId="3A9D1CF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文本文件</w:t>
            </w:r>
          </w:p>
        </w:tc>
      </w:tr>
      <w:tr w14:paraId="6D6B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5" w:hRule="atLeast"/>
          <w:jc w:val="center"/>
        </w:trPr>
        <w:tc>
          <w:tcPr>
            <w:tcW w:w="434" w:type="pct"/>
            <w:vMerge w:val="continue"/>
            <w:vAlign w:val="center"/>
          </w:tcPr>
          <w:p w14:paraId="368E389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091E8AA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Align w:val="center"/>
          </w:tcPr>
          <w:p w14:paraId="73B9AAD7">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各类可视化分析、渲染表现</w:t>
            </w:r>
          </w:p>
          <w:p w14:paraId="34DBDE36">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rPr>
              <w:t>动画</w:t>
            </w:r>
          </w:p>
        </w:tc>
        <w:tc>
          <w:tcPr>
            <w:tcW w:w="721" w:type="pct"/>
            <w:vAlign w:val="center"/>
          </w:tcPr>
          <w:p w14:paraId="71E88AD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漫游视频</w:t>
            </w:r>
          </w:p>
        </w:tc>
        <w:tc>
          <w:tcPr>
            <w:tcW w:w="1859" w:type="pct"/>
            <w:vAlign w:val="center"/>
          </w:tcPr>
          <w:p w14:paraId="01244AE8">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清晰表达建筑物的设计效果，并反映主要空间布置。</w:t>
            </w:r>
          </w:p>
        </w:tc>
        <w:tc>
          <w:tcPr>
            <w:tcW w:w="349" w:type="pct"/>
            <w:vAlign w:val="center"/>
          </w:tcPr>
          <w:p w14:paraId="685A5B4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影像文件</w:t>
            </w:r>
          </w:p>
        </w:tc>
      </w:tr>
      <w:tr w14:paraId="41BA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5847917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Align w:val="center"/>
          </w:tcPr>
          <w:p w14:paraId="4CA49CC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工程量</w:t>
            </w:r>
          </w:p>
          <w:p w14:paraId="6220807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统计</w:t>
            </w:r>
          </w:p>
        </w:tc>
        <w:tc>
          <w:tcPr>
            <w:tcW w:w="872" w:type="pct"/>
            <w:vAlign w:val="center"/>
          </w:tcPr>
          <w:p w14:paraId="13ED828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工程算量</w:t>
            </w:r>
          </w:p>
        </w:tc>
        <w:tc>
          <w:tcPr>
            <w:tcW w:w="721" w:type="pct"/>
            <w:vAlign w:val="center"/>
          </w:tcPr>
          <w:p w14:paraId="19B5C72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工程量清单</w:t>
            </w:r>
          </w:p>
        </w:tc>
        <w:tc>
          <w:tcPr>
            <w:tcW w:w="1859" w:type="pct"/>
            <w:vAlign w:val="center"/>
          </w:tcPr>
          <w:p w14:paraId="6DA59634">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1.为设计算量提供依据；</w:t>
            </w:r>
          </w:p>
          <w:p w14:paraId="048038D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2.项目简述；</w:t>
            </w:r>
          </w:p>
          <w:p w14:paraId="46112B9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3.模型工程量清单应用目的；</w:t>
            </w:r>
          </w:p>
          <w:p w14:paraId="1BC2A630">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4.</w:t>
            </w:r>
            <w:r>
              <w:rPr>
                <w:rFonts w:hint="eastAsia"/>
                <w:color w:val="000000"/>
                <w:spacing w:val="-3"/>
                <w:sz w:val="21"/>
                <w:szCs w:val="21"/>
              </w:rPr>
              <w:t>模型单元工程量</w:t>
            </w:r>
            <w:r>
              <w:rPr>
                <w:rFonts w:hint="eastAsia"/>
                <w:color w:val="000000"/>
                <w:spacing w:val="-3"/>
                <w:sz w:val="21"/>
                <w:szCs w:val="21"/>
                <w:lang w:eastAsia="zh-CN"/>
              </w:rPr>
              <w:t>。</w:t>
            </w:r>
          </w:p>
        </w:tc>
        <w:tc>
          <w:tcPr>
            <w:tcW w:w="349" w:type="pct"/>
            <w:vAlign w:val="center"/>
          </w:tcPr>
          <w:p w14:paraId="156E40D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文本文件</w:t>
            </w:r>
          </w:p>
        </w:tc>
      </w:tr>
      <w:tr w14:paraId="547F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32B0384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restart"/>
            <w:vAlign w:val="center"/>
          </w:tcPr>
          <w:p w14:paraId="2D6B4FE3">
            <w:pPr>
              <w:pStyle w:val="68"/>
              <w:spacing w:beforeLines="0" w:afterLines="0" w:line="240" w:lineRule="auto"/>
              <w:ind w:right="48" w:rightChars="20" w:firstLine="0" w:firstLineChars="0"/>
              <w:rPr>
                <w:rFonts w:hint="eastAsia"/>
                <w:color w:val="000000"/>
                <w:spacing w:val="-3"/>
                <w:sz w:val="21"/>
                <w:szCs w:val="21"/>
                <w:lang w:eastAsia="zh-CN"/>
              </w:rPr>
            </w:pPr>
          </w:p>
          <w:p w14:paraId="08E48060">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其他专项</w:t>
            </w:r>
          </w:p>
          <w:p w14:paraId="411D8C3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设计BIM</w:t>
            </w:r>
          </w:p>
          <w:p w14:paraId="2599BDD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应用</w:t>
            </w:r>
          </w:p>
        </w:tc>
        <w:tc>
          <w:tcPr>
            <w:tcW w:w="872" w:type="pct"/>
            <w:vMerge w:val="restart"/>
            <w:vAlign w:val="center"/>
          </w:tcPr>
          <w:p w14:paraId="1614344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装饰装修工程</w:t>
            </w:r>
          </w:p>
        </w:tc>
        <w:tc>
          <w:tcPr>
            <w:tcW w:w="721" w:type="pct"/>
            <w:vAlign w:val="center"/>
          </w:tcPr>
          <w:p w14:paraId="20272FF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装饰装修</w:t>
            </w:r>
          </w:p>
          <w:p w14:paraId="1A68B15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工程设计BIM模型</w:t>
            </w:r>
          </w:p>
        </w:tc>
        <w:tc>
          <w:tcPr>
            <w:tcW w:w="1859" w:type="pct"/>
            <w:vAlign w:val="center"/>
          </w:tcPr>
          <w:p w14:paraId="3D68F5F5">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基层/面层/嵌板、支撑构件/龙骨、其他构造层、装饰物、安装构件、密封材料、设备接口及配件、指示标志、家具。</w:t>
            </w:r>
          </w:p>
        </w:tc>
        <w:tc>
          <w:tcPr>
            <w:tcW w:w="349" w:type="pct"/>
            <w:vAlign w:val="center"/>
          </w:tcPr>
          <w:p w14:paraId="7EB0822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0979E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jc w:val="center"/>
        </w:trPr>
        <w:tc>
          <w:tcPr>
            <w:tcW w:w="434" w:type="pct"/>
            <w:vMerge w:val="continue"/>
            <w:vAlign w:val="center"/>
          </w:tcPr>
          <w:p w14:paraId="2ACF146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654E3A4F">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051FDDD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328D4AB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漫游视频</w:t>
            </w:r>
          </w:p>
        </w:tc>
        <w:tc>
          <w:tcPr>
            <w:tcW w:w="1859" w:type="pct"/>
            <w:vAlign w:val="center"/>
          </w:tcPr>
          <w:p w14:paraId="7178BD6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清晰表达设计效果，并可反映工程实际情况。</w:t>
            </w:r>
          </w:p>
        </w:tc>
        <w:tc>
          <w:tcPr>
            <w:tcW w:w="349" w:type="pct"/>
            <w:vAlign w:val="center"/>
          </w:tcPr>
          <w:p w14:paraId="4007E21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影像文件</w:t>
            </w:r>
          </w:p>
        </w:tc>
      </w:tr>
      <w:tr w14:paraId="675D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23D388B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05305FF3">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restart"/>
            <w:vAlign w:val="center"/>
          </w:tcPr>
          <w:p w14:paraId="2BDD98BD">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rPr>
              <w:t>园林景观工程</w:t>
            </w:r>
          </w:p>
        </w:tc>
        <w:tc>
          <w:tcPr>
            <w:tcW w:w="721" w:type="pct"/>
            <w:vAlign w:val="center"/>
          </w:tcPr>
          <w:p w14:paraId="6F394B9F">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园林景观设计BIM模型</w:t>
            </w:r>
          </w:p>
        </w:tc>
        <w:tc>
          <w:tcPr>
            <w:tcW w:w="1859" w:type="pct"/>
            <w:vAlign w:val="center"/>
          </w:tcPr>
          <w:p w14:paraId="0416FF1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种植灌溉、草坪、植物、种植配件、景观照明、园林景观附属物。</w:t>
            </w:r>
          </w:p>
        </w:tc>
        <w:tc>
          <w:tcPr>
            <w:tcW w:w="349" w:type="pct"/>
            <w:vAlign w:val="center"/>
          </w:tcPr>
          <w:p w14:paraId="0145A1D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40D3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jc w:val="center"/>
        </w:trPr>
        <w:tc>
          <w:tcPr>
            <w:tcW w:w="434" w:type="pct"/>
            <w:vMerge w:val="continue"/>
            <w:vAlign w:val="center"/>
          </w:tcPr>
          <w:p w14:paraId="1994607A">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6C45E66F">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50A6206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1036788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漫游视频</w:t>
            </w:r>
          </w:p>
        </w:tc>
        <w:tc>
          <w:tcPr>
            <w:tcW w:w="1859" w:type="pct"/>
            <w:vAlign w:val="center"/>
          </w:tcPr>
          <w:p w14:paraId="14BA6361">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清晰表达设计效果，并可反映工程实际情况。</w:t>
            </w:r>
          </w:p>
        </w:tc>
        <w:tc>
          <w:tcPr>
            <w:tcW w:w="349" w:type="pct"/>
            <w:vAlign w:val="center"/>
          </w:tcPr>
          <w:p w14:paraId="4D834AA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影像文件</w:t>
            </w:r>
          </w:p>
        </w:tc>
      </w:tr>
      <w:tr w14:paraId="2726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jc w:val="center"/>
        </w:trPr>
        <w:tc>
          <w:tcPr>
            <w:tcW w:w="434" w:type="pct"/>
            <w:vMerge w:val="continue"/>
            <w:vAlign w:val="center"/>
          </w:tcPr>
          <w:p w14:paraId="07B9D51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7F31143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restart"/>
            <w:vAlign w:val="center"/>
          </w:tcPr>
          <w:p w14:paraId="18E19704">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rPr>
              <w:t>幕墙工程</w:t>
            </w:r>
          </w:p>
        </w:tc>
        <w:tc>
          <w:tcPr>
            <w:tcW w:w="721" w:type="pct"/>
            <w:vAlign w:val="center"/>
          </w:tcPr>
          <w:p w14:paraId="216B32D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幕墙设计BIM模型</w:t>
            </w:r>
          </w:p>
        </w:tc>
        <w:tc>
          <w:tcPr>
            <w:tcW w:w="1859" w:type="pct"/>
            <w:vAlign w:val="center"/>
          </w:tcPr>
          <w:p w14:paraId="288B5441">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嵌板、主要支撑构件、支撑构件配件、密封材料、安装构件。</w:t>
            </w:r>
          </w:p>
        </w:tc>
        <w:tc>
          <w:tcPr>
            <w:tcW w:w="349" w:type="pct"/>
            <w:vAlign w:val="center"/>
          </w:tcPr>
          <w:p w14:paraId="042C00C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模型文件</w:t>
            </w:r>
          </w:p>
        </w:tc>
      </w:tr>
      <w:tr w14:paraId="7B165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434" w:type="pct"/>
            <w:vMerge w:val="continue"/>
            <w:vAlign w:val="center"/>
          </w:tcPr>
          <w:p w14:paraId="125B7DE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62" w:type="pct"/>
            <w:vMerge w:val="continue"/>
            <w:vAlign w:val="center"/>
          </w:tcPr>
          <w:p w14:paraId="5AF8DCAE">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72" w:type="pct"/>
            <w:vMerge w:val="continue"/>
            <w:vAlign w:val="center"/>
          </w:tcPr>
          <w:p w14:paraId="1836E50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21" w:type="pct"/>
            <w:vAlign w:val="center"/>
          </w:tcPr>
          <w:p w14:paraId="0CFD84B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漫游视频</w:t>
            </w:r>
          </w:p>
        </w:tc>
        <w:tc>
          <w:tcPr>
            <w:tcW w:w="1859" w:type="pct"/>
            <w:vAlign w:val="center"/>
          </w:tcPr>
          <w:p w14:paraId="74D8BF9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清晰表达设计效果，并可反映工程实际情况。</w:t>
            </w:r>
          </w:p>
        </w:tc>
        <w:tc>
          <w:tcPr>
            <w:tcW w:w="349" w:type="pct"/>
            <w:vAlign w:val="center"/>
          </w:tcPr>
          <w:p w14:paraId="3A3AC14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影像文件</w:t>
            </w:r>
          </w:p>
        </w:tc>
      </w:tr>
    </w:tbl>
    <w:p w14:paraId="1896CF92">
      <w:pPr>
        <w:spacing w:before="163" w:after="163"/>
        <w:ind w:firstLine="0" w:firstLineChars="0"/>
        <w:outlineLvl w:val="1"/>
        <w:rPr>
          <w:rFonts w:cs="Times New Roman"/>
          <w:b/>
          <w:bCs/>
        </w:rPr>
      </w:pPr>
      <w:bookmarkStart w:id="72" w:name="_Toc14273"/>
      <w:r>
        <w:rPr>
          <w:rFonts w:cs="Times New Roman"/>
          <w:b/>
          <w:bCs/>
        </w:rPr>
        <w:t>A.</w:t>
      </w:r>
      <w:r>
        <w:rPr>
          <w:rFonts w:hint="eastAsia" w:cs="Times New Roman"/>
          <w:b/>
          <w:bCs/>
        </w:rPr>
        <w:t>3</w:t>
      </w:r>
      <w:r>
        <w:rPr>
          <w:rFonts w:cs="Times New Roman"/>
          <w:b/>
          <w:bCs/>
        </w:rPr>
        <w:t>施工阶段交付物要求</w:t>
      </w:r>
      <w:bookmarkEnd w:id="72"/>
    </w:p>
    <w:p w14:paraId="6CA5D7FF">
      <w:pPr>
        <w:spacing w:before="163" w:after="163"/>
        <w:ind w:firstLine="422"/>
        <w:jc w:val="center"/>
        <w:rPr>
          <w:rFonts w:cs="Times New Roman"/>
          <w:b/>
          <w:bCs/>
          <w:sz w:val="21"/>
          <w:szCs w:val="21"/>
        </w:rPr>
      </w:pPr>
      <w:r>
        <w:rPr>
          <w:rFonts w:hint="eastAsia" w:ascii="宋体" w:hAnsi="宋体" w:cs="宋体"/>
          <w:b/>
          <w:bCs/>
          <w:sz w:val="21"/>
          <w:szCs w:val="21"/>
          <w:lang w:val="en-US" w:eastAsia="zh-CN"/>
        </w:rPr>
        <w:t>表</w:t>
      </w:r>
      <w:r>
        <w:rPr>
          <w:rFonts w:hint="eastAsia" w:ascii="宋体" w:hAnsi="宋体" w:cs="宋体"/>
          <w:b/>
          <w:bCs/>
          <w:sz w:val="21"/>
          <w:szCs w:val="21"/>
        </w:rPr>
        <w:t>A.3 施工阶段交付物要求</w:t>
      </w:r>
    </w:p>
    <w:tbl>
      <w:tblPr>
        <w:tblStyle w:val="67"/>
        <w:tblW w:w="524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8"/>
        <w:gridCol w:w="1314"/>
        <w:gridCol w:w="581"/>
        <w:gridCol w:w="930"/>
        <w:gridCol w:w="1185"/>
        <w:gridCol w:w="3251"/>
        <w:gridCol w:w="667"/>
      </w:tblGrid>
      <w:tr w14:paraId="64D3EA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jc w:val="center"/>
        </w:trPr>
        <w:tc>
          <w:tcPr>
            <w:tcW w:w="451" w:type="pct"/>
            <w:vAlign w:val="center"/>
          </w:tcPr>
          <w:p w14:paraId="315C482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w:t>
            </w:r>
          </w:p>
          <w:p w14:paraId="3C49A79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用阶段</w:t>
            </w:r>
          </w:p>
        </w:tc>
        <w:tc>
          <w:tcPr>
            <w:tcW w:w="753" w:type="pct"/>
            <w:vAlign w:val="center"/>
          </w:tcPr>
          <w:p w14:paraId="70AFED8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w:t>
            </w:r>
          </w:p>
          <w:p w14:paraId="2838366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内容</w:t>
            </w:r>
          </w:p>
        </w:tc>
        <w:tc>
          <w:tcPr>
            <w:tcW w:w="866" w:type="pct"/>
            <w:gridSpan w:val="2"/>
            <w:vAlign w:val="center"/>
          </w:tcPr>
          <w:p w14:paraId="0F8CBA1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BIM应用子项（应用点）</w:t>
            </w:r>
          </w:p>
        </w:tc>
        <w:tc>
          <w:tcPr>
            <w:tcW w:w="2544" w:type="pct"/>
            <w:gridSpan w:val="2"/>
            <w:vAlign w:val="center"/>
          </w:tcPr>
          <w:p w14:paraId="24CC74B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BIM应用交付物</w:t>
            </w:r>
          </w:p>
        </w:tc>
        <w:tc>
          <w:tcPr>
            <w:tcW w:w="382" w:type="pct"/>
            <w:vAlign w:val="center"/>
          </w:tcPr>
          <w:p w14:paraId="52A6D205">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rPr>
              <w:t>交付</w:t>
            </w:r>
            <w:r>
              <w:rPr>
                <w:rFonts w:hint="eastAsia"/>
                <w:color w:val="000000"/>
                <w:spacing w:val="-3"/>
                <w:sz w:val="21"/>
                <w:szCs w:val="21"/>
                <w:lang w:eastAsia="zh-CN"/>
              </w:rPr>
              <w:t>物</w:t>
            </w:r>
            <w:r>
              <w:rPr>
                <w:rFonts w:hint="eastAsia"/>
                <w:color w:val="000000"/>
                <w:spacing w:val="-3"/>
                <w:sz w:val="21"/>
                <w:szCs w:val="21"/>
              </w:rPr>
              <w:t>类型</w:t>
            </w:r>
          </w:p>
        </w:tc>
      </w:tr>
      <w:tr w14:paraId="0CA23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3" w:hRule="atLeast"/>
          <w:jc w:val="center"/>
        </w:trPr>
        <w:tc>
          <w:tcPr>
            <w:tcW w:w="451" w:type="pct"/>
            <w:vMerge w:val="restart"/>
            <w:tcBorders>
              <w:bottom w:val="nil"/>
            </w:tcBorders>
            <w:vAlign w:val="center"/>
          </w:tcPr>
          <w:p w14:paraId="30D709F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施工策划阶段</w:t>
            </w:r>
          </w:p>
        </w:tc>
        <w:tc>
          <w:tcPr>
            <w:tcW w:w="753" w:type="pct"/>
            <w:vMerge w:val="restart"/>
            <w:tcBorders>
              <w:bottom w:val="nil"/>
            </w:tcBorders>
            <w:vAlign w:val="center"/>
          </w:tcPr>
          <w:p w14:paraId="44A4F7D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施工策划</w:t>
            </w:r>
          </w:p>
          <w:p w14:paraId="07C4705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w:t>
            </w:r>
          </w:p>
        </w:tc>
        <w:tc>
          <w:tcPr>
            <w:tcW w:w="866" w:type="pct"/>
            <w:gridSpan w:val="2"/>
            <w:vAlign w:val="center"/>
          </w:tcPr>
          <w:p w14:paraId="1616517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施工BIM</w:t>
            </w:r>
          </w:p>
          <w:p w14:paraId="713EE00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策划</w:t>
            </w:r>
          </w:p>
        </w:tc>
        <w:tc>
          <w:tcPr>
            <w:tcW w:w="679" w:type="pct"/>
            <w:vAlign w:val="center"/>
          </w:tcPr>
          <w:p w14:paraId="142511B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施工BIM</w:t>
            </w:r>
          </w:p>
          <w:p w14:paraId="6D252A30">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应用策划</w:t>
            </w:r>
          </w:p>
          <w:p w14:paraId="45D060AF">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文档</w:t>
            </w:r>
          </w:p>
        </w:tc>
        <w:tc>
          <w:tcPr>
            <w:tcW w:w="1865" w:type="pct"/>
            <w:vAlign w:val="center"/>
          </w:tcPr>
          <w:p w14:paraId="6619ED1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1.包含项目概况、应用目标、重难点分析、项目实施方案、项目风险、项目保障措施等；</w:t>
            </w:r>
          </w:p>
          <w:p w14:paraId="0BAA860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2.BIM应用目标与流程；</w:t>
            </w:r>
          </w:p>
          <w:p w14:paraId="27E52E49">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3.BIM工作组织与资源配置。</w:t>
            </w:r>
          </w:p>
        </w:tc>
        <w:tc>
          <w:tcPr>
            <w:tcW w:w="382" w:type="pct"/>
            <w:vAlign w:val="center"/>
          </w:tcPr>
          <w:p w14:paraId="1E2D7BA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51ED033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42E3D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jc w:val="center"/>
        </w:trPr>
        <w:tc>
          <w:tcPr>
            <w:tcW w:w="451" w:type="pct"/>
            <w:vMerge w:val="continue"/>
            <w:tcBorders>
              <w:top w:val="nil"/>
              <w:bottom w:val="nil"/>
            </w:tcBorders>
            <w:vAlign w:val="center"/>
          </w:tcPr>
          <w:p w14:paraId="4564E09F">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top w:val="nil"/>
              <w:bottom w:val="nil"/>
            </w:tcBorders>
            <w:vAlign w:val="center"/>
          </w:tcPr>
          <w:p w14:paraId="4A0A1D8F">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Align w:val="center"/>
          </w:tcPr>
          <w:p w14:paraId="011CE31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施工场地规划</w:t>
            </w:r>
          </w:p>
        </w:tc>
        <w:tc>
          <w:tcPr>
            <w:tcW w:w="679" w:type="pct"/>
            <w:vAlign w:val="center"/>
          </w:tcPr>
          <w:p w14:paraId="4C40078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施工场地</w:t>
            </w:r>
          </w:p>
          <w:p w14:paraId="4F6C8AC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规划报告</w:t>
            </w:r>
          </w:p>
        </w:tc>
        <w:tc>
          <w:tcPr>
            <w:tcW w:w="1865" w:type="pct"/>
            <w:vAlign w:val="center"/>
          </w:tcPr>
          <w:p w14:paraId="12159C7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1.符合现场实际情况；</w:t>
            </w:r>
          </w:p>
          <w:p w14:paraId="62211BD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2.材料堆场与消防设施规划；</w:t>
            </w:r>
          </w:p>
          <w:p w14:paraId="2B36A675">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3.施工运输路线规划；</w:t>
            </w:r>
          </w:p>
          <w:p w14:paraId="6A9CA0A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4.临水临电设置规划；</w:t>
            </w:r>
          </w:p>
          <w:p w14:paraId="15CD2CA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5.施工场地临建设施规划。</w:t>
            </w:r>
          </w:p>
        </w:tc>
        <w:tc>
          <w:tcPr>
            <w:tcW w:w="382" w:type="pct"/>
            <w:vAlign w:val="center"/>
          </w:tcPr>
          <w:p w14:paraId="7B3786D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1C3BF2F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1C5EE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451" w:type="pct"/>
            <w:vMerge w:val="continue"/>
            <w:tcBorders>
              <w:top w:val="nil"/>
            </w:tcBorders>
            <w:vAlign w:val="center"/>
          </w:tcPr>
          <w:p w14:paraId="3A4216E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top w:val="nil"/>
            </w:tcBorders>
            <w:vAlign w:val="center"/>
          </w:tcPr>
          <w:p w14:paraId="14754A7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Align w:val="center"/>
          </w:tcPr>
          <w:p w14:paraId="72B5EFE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模型会审</w:t>
            </w:r>
          </w:p>
        </w:tc>
        <w:tc>
          <w:tcPr>
            <w:tcW w:w="679" w:type="pct"/>
            <w:vAlign w:val="center"/>
          </w:tcPr>
          <w:p w14:paraId="48C1276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模型会审</w:t>
            </w:r>
          </w:p>
          <w:p w14:paraId="3511034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记录文档</w:t>
            </w:r>
          </w:p>
        </w:tc>
        <w:tc>
          <w:tcPr>
            <w:tcW w:w="1865" w:type="pct"/>
            <w:vAlign w:val="center"/>
          </w:tcPr>
          <w:p w14:paraId="68B71CA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1.提出会审意见，及改进措施；</w:t>
            </w:r>
          </w:p>
          <w:p w14:paraId="53D3CB93">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2.BIM模型会审记录。</w:t>
            </w:r>
          </w:p>
        </w:tc>
        <w:tc>
          <w:tcPr>
            <w:tcW w:w="382" w:type="pct"/>
            <w:vAlign w:val="center"/>
          </w:tcPr>
          <w:p w14:paraId="7F359F1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47261E2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42E5A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2" w:hRule="atLeast"/>
          <w:jc w:val="center"/>
        </w:trPr>
        <w:tc>
          <w:tcPr>
            <w:tcW w:w="451" w:type="pct"/>
            <w:vMerge w:val="restart"/>
            <w:vAlign w:val="center"/>
          </w:tcPr>
          <w:p w14:paraId="010DF9A5">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lang w:val="en-US" w:eastAsia="zh-CN"/>
              </w:rPr>
              <w:t>深化设计</w:t>
            </w:r>
            <w:r>
              <w:rPr>
                <w:rFonts w:hint="eastAsia"/>
                <w:color w:val="000000"/>
                <w:spacing w:val="-3"/>
                <w:sz w:val="21"/>
                <w:szCs w:val="21"/>
              </w:rPr>
              <w:t>阶段</w:t>
            </w:r>
          </w:p>
          <w:p w14:paraId="102EDEAD">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restart"/>
            <w:vAlign w:val="center"/>
          </w:tcPr>
          <w:p w14:paraId="71213B02">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lang w:eastAsia="zh-CN"/>
              </w:rPr>
              <w:t>专业模型</w:t>
            </w:r>
            <w:r>
              <w:rPr>
                <w:rFonts w:hint="eastAsia"/>
                <w:color w:val="000000"/>
                <w:spacing w:val="-3"/>
                <w:sz w:val="21"/>
                <w:szCs w:val="21"/>
              </w:rPr>
              <w:t>深化应用</w:t>
            </w:r>
          </w:p>
        </w:tc>
        <w:tc>
          <w:tcPr>
            <w:tcW w:w="866" w:type="pct"/>
            <w:gridSpan w:val="2"/>
            <w:vAlign w:val="center"/>
          </w:tcPr>
          <w:p w14:paraId="22E1AED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建筑模型深化</w:t>
            </w:r>
          </w:p>
        </w:tc>
        <w:tc>
          <w:tcPr>
            <w:tcW w:w="679" w:type="pct"/>
            <w:vAlign w:val="center"/>
          </w:tcPr>
          <w:p w14:paraId="46FDD1D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建筑施工</w:t>
            </w:r>
          </w:p>
          <w:p w14:paraId="1266F2A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深化BIM</w:t>
            </w:r>
          </w:p>
          <w:p w14:paraId="1276CAB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tc>
        <w:tc>
          <w:tcPr>
            <w:tcW w:w="1865" w:type="pct"/>
            <w:vAlign w:val="center"/>
          </w:tcPr>
          <w:p w14:paraId="724B286A">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建筑外墙、建筑内墙、建筑柱、门/窗、屋顶、楼/地面、顶棚、楼梯、坡道/台阶、散水与明沟、栏杆、雨棚、阳台、楼台变形缝。</w:t>
            </w:r>
          </w:p>
        </w:tc>
        <w:tc>
          <w:tcPr>
            <w:tcW w:w="382" w:type="pct"/>
            <w:vAlign w:val="center"/>
          </w:tcPr>
          <w:p w14:paraId="485A603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4E2A2BF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03CD0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2" w:hRule="atLeast"/>
          <w:jc w:val="center"/>
        </w:trPr>
        <w:tc>
          <w:tcPr>
            <w:tcW w:w="451" w:type="pct"/>
            <w:vMerge w:val="continue"/>
            <w:vAlign w:val="center"/>
          </w:tcPr>
          <w:p w14:paraId="7FDC0EA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382B2FD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Align w:val="center"/>
          </w:tcPr>
          <w:p w14:paraId="6BD6A7F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结构模型深化</w:t>
            </w:r>
          </w:p>
        </w:tc>
        <w:tc>
          <w:tcPr>
            <w:tcW w:w="679" w:type="pct"/>
            <w:vAlign w:val="center"/>
          </w:tcPr>
          <w:p w14:paraId="24F6814E">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结构施工</w:t>
            </w:r>
          </w:p>
          <w:p w14:paraId="1FCB4768">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深化BIM</w:t>
            </w:r>
          </w:p>
          <w:p w14:paraId="547F31D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模型</w:t>
            </w:r>
          </w:p>
        </w:tc>
        <w:tc>
          <w:tcPr>
            <w:tcW w:w="1865" w:type="pct"/>
            <w:vAlign w:val="center"/>
          </w:tcPr>
          <w:p w14:paraId="2EA8669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独立基础、条形基础、筏板基础、桩基础、防水板、承台、挡土墙等。</w:t>
            </w:r>
          </w:p>
          <w:p w14:paraId="0D739182">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结构基础构件、基础垫层、连接构造、埋件等。混凝土梁、混凝土板、混凝土柱、混凝土墙等。钢柱、钢梁、钢骨梁、钢骨柱、钢结构杆件、拉索，钢结构节点等。混凝土梁、混凝土板、混凝土柱、混凝土墙等。</w:t>
            </w:r>
          </w:p>
          <w:p w14:paraId="25A1F0F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钢柱、钢梁、钢骨梁、钢骨柱、钢结构杆件、拉索，钢结构节点等。</w:t>
            </w:r>
          </w:p>
        </w:tc>
        <w:tc>
          <w:tcPr>
            <w:tcW w:w="382" w:type="pct"/>
            <w:vAlign w:val="center"/>
          </w:tcPr>
          <w:p w14:paraId="50A6B555">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p>
          <w:p w14:paraId="26876A2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34001FB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128DC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jc w:val="center"/>
        </w:trPr>
        <w:tc>
          <w:tcPr>
            <w:tcW w:w="451" w:type="pct"/>
            <w:vMerge w:val="continue"/>
            <w:vAlign w:val="center"/>
          </w:tcPr>
          <w:p w14:paraId="6B56C41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7AACE8B0">
            <w:pPr>
              <w:pStyle w:val="68"/>
              <w:spacing w:beforeLines="0" w:afterLines="0" w:line="240" w:lineRule="auto"/>
              <w:ind w:left="48" w:leftChars="20" w:right="48" w:rightChars="20" w:firstLine="0" w:firstLineChars="0"/>
              <w:rPr>
                <w:rFonts w:hint="eastAsia"/>
                <w:color w:val="000000"/>
                <w:spacing w:val="-3"/>
                <w:sz w:val="21"/>
                <w:szCs w:val="21"/>
              </w:rPr>
            </w:pPr>
          </w:p>
        </w:tc>
        <w:tc>
          <w:tcPr>
            <w:tcW w:w="866" w:type="pct"/>
            <w:gridSpan w:val="2"/>
            <w:vMerge w:val="restart"/>
            <w:vAlign w:val="center"/>
          </w:tcPr>
          <w:p w14:paraId="5667956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电气模型深化</w:t>
            </w:r>
          </w:p>
          <w:p w14:paraId="5EDB9F2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及出图</w:t>
            </w:r>
          </w:p>
        </w:tc>
        <w:tc>
          <w:tcPr>
            <w:tcW w:w="679" w:type="pct"/>
            <w:vAlign w:val="center"/>
          </w:tcPr>
          <w:p w14:paraId="2A759C59">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电气施工</w:t>
            </w:r>
          </w:p>
          <w:p w14:paraId="7CFBBB80">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深化BIM</w:t>
            </w:r>
          </w:p>
          <w:p w14:paraId="60550E0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模型</w:t>
            </w:r>
          </w:p>
        </w:tc>
        <w:tc>
          <w:tcPr>
            <w:tcW w:w="1865" w:type="pct"/>
            <w:vAlign w:val="center"/>
          </w:tcPr>
          <w:p w14:paraId="3A088F3E">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配电箱、控制箱、配电装置、电力电容器装置、直流屏、信号屏等。照明灯具、照明供电设备、照明配电线路、照明控制设备、消防应急照明和疏散指示设备等。自备应急柴油发电机组、应急电源装置(EPS)、不间断电源装置(UPS)等。低压电器、低压配电线路、成套控制装置、电气系统器件等。</w:t>
            </w:r>
            <w:r>
              <w:rPr>
                <w:rFonts w:hint="eastAsia"/>
                <w:color w:val="000000"/>
                <w:spacing w:val="-3"/>
                <w:sz w:val="21"/>
                <w:szCs w:val="21"/>
              </w:rPr>
              <w:t>各系统所属系统、线缆、设备等。</w:t>
            </w:r>
          </w:p>
        </w:tc>
        <w:tc>
          <w:tcPr>
            <w:tcW w:w="382" w:type="pct"/>
            <w:vAlign w:val="center"/>
          </w:tcPr>
          <w:p w14:paraId="756C0FC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4DA6C98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06029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3" w:hRule="atLeast"/>
          <w:jc w:val="center"/>
        </w:trPr>
        <w:tc>
          <w:tcPr>
            <w:tcW w:w="451" w:type="pct"/>
            <w:vMerge w:val="continue"/>
            <w:vAlign w:val="center"/>
          </w:tcPr>
          <w:p w14:paraId="641893CE">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1DEB3E4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Merge w:val="continue"/>
            <w:vAlign w:val="center"/>
          </w:tcPr>
          <w:p w14:paraId="64BFCCC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679" w:type="pct"/>
            <w:vAlign w:val="center"/>
          </w:tcPr>
          <w:p w14:paraId="2D1EE819">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电气施工</w:t>
            </w:r>
          </w:p>
          <w:p w14:paraId="15BAD4B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深化BIM</w:t>
            </w:r>
          </w:p>
          <w:p w14:paraId="3B7F047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图纸</w:t>
            </w:r>
          </w:p>
        </w:tc>
        <w:tc>
          <w:tcPr>
            <w:tcW w:w="1865" w:type="pct"/>
            <w:vAlign w:val="center"/>
          </w:tcPr>
          <w:p w14:paraId="12DBF5FF">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1.图纸目录；</w:t>
            </w:r>
          </w:p>
          <w:p w14:paraId="1B78EF29">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2.深化说明；</w:t>
            </w:r>
          </w:p>
          <w:p w14:paraId="097BC23A">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3.电气施工预留孔洞平面定位图及标高图；</w:t>
            </w:r>
          </w:p>
          <w:p w14:paraId="6BD6E5B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4.电气设备布置定位图及标高图；</w:t>
            </w:r>
          </w:p>
          <w:p w14:paraId="2E38661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5.配电平面定位图及标高图；</w:t>
            </w:r>
          </w:p>
          <w:p w14:paraId="44B25A73">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6.照明平面定位图及标高图；</w:t>
            </w:r>
          </w:p>
          <w:p w14:paraId="0944C78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7.消防控制室设备布置平面定位图及标高图；</w:t>
            </w:r>
          </w:p>
          <w:p w14:paraId="2EA7EA33">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8.机房设备深化布置平面定位图及标高图。</w:t>
            </w:r>
          </w:p>
        </w:tc>
        <w:tc>
          <w:tcPr>
            <w:tcW w:w="382" w:type="pct"/>
            <w:vAlign w:val="center"/>
          </w:tcPr>
          <w:p w14:paraId="7AD08409">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p>
          <w:p w14:paraId="2C66417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p>
          <w:p w14:paraId="69EB016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w:t>
            </w:r>
          </w:p>
          <w:p w14:paraId="77A1673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12EE7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jc w:val="center"/>
        </w:trPr>
        <w:tc>
          <w:tcPr>
            <w:tcW w:w="451" w:type="pct"/>
            <w:vMerge w:val="continue"/>
            <w:vAlign w:val="center"/>
          </w:tcPr>
          <w:p w14:paraId="2B6AF2B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40EE703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Merge w:val="restart"/>
            <w:vAlign w:val="center"/>
          </w:tcPr>
          <w:p w14:paraId="16547D2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给排水模型深</w:t>
            </w:r>
          </w:p>
          <w:p w14:paraId="4251DBFE">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化及出图</w:t>
            </w:r>
          </w:p>
        </w:tc>
        <w:tc>
          <w:tcPr>
            <w:tcW w:w="679" w:type="pct"/>
            <w:vAlign w:val="center"/>
          </w:tcPr>
          <w:p w14:paraId="59717A29">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给排水施工深化BIM</w:t>
            </w:r>
          </w:p>
          <w:p w14:paraId="71685D65">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模型</w:t>
            </w:r>
          </w:p>
        </w:tc>
        <w:tc>
          <w:tcPr>
            <w:tcW w:w="1865" w:type="pct"/>
            <w:vAlign w:val="center"/>
          </w:tcPr>
          <w:p w14:paraId="4BD3D81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水箱、加压设备等。热水器、换热器、太阳能集热设备、热水机组、热泵机组等。提升设备、隔油设备等。软化水设备、过滤设备、膜处理设备、污、废水处理设备、雨水回收利用设备，消毒设备等。消防水泵、高位消防水箱、稳压泵、消防增压稳压给水设备、消防水泵接合器、消火栓、喷头、报警阀组、水流指示器、试水装置、减压孔板、大空间智能型主动喷水灭火装置、固定消防炮、细水雾灭火设备、气体灭火设备、泡沫灭火设备、消防器材、消防水池等。管道、阀门、仪表、过滤器、旋流防止器、吸水喇叭口、波纹补偿器、可曲挠橡胶接头、金属软管、存水弯、清扫口、检查口、通气帽、雨水斗、套管、支吊架等。</w:t>
            </w:r>
          </w:p>
        </w:tc>
        <w:tc>
          <w:tcPr>
            <w:tcW w:w="382" w:type="pct"/>
            <w:vAlign w:val="center"/>
          </w:tcPr>
          <w:p w14:paraId="1916A41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14A1816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168A7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3" w:hRule="atLeast"/>
          <w:jc w:val="center"/>
        </w:trPr>
        <w:tc>
          <w:tcPr>
            <w:tcW w:w="451" w:type="pct"/>
            <w:vMerge w:val="continue"/>
            <w:vAlign w:val="center"/>
          </w:tcPr>
          <w:p w14:paraId="60CF3E7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099B5C1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Merge w:val="continue"/>
            <w:vAlign w:val="center"/>
          </w:tcPr>
          <w:p w14:paraId="28283BBE">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679" w:type="pct"/>
            <w:vAlign w:val="center"/>
          </w:tcPr>
          <w:p w14:paraId="2A889EA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给排水施工深化BIM</w:t>
            </w:r>
          </w:p>
          <w:p w14:paraId="563B09B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图纸</w:t>
            </w:r>
          </w:p>
        </w:tc>
        <w:tc>
          <w:tcPr>
            <w:tcW w:w="1865" w:type="pct"/>
            <w:vAlign w:val="center"/>
          </w:tcPr>
          <w:p w14:paraId="31F183C8">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1.图纸目录；</w:t>
            </w:r>
          </w:p>
          <w:p w14:paraId="19596D9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2.深化说明；</w:t>
            </w:r>
          </w:p>
          <w:p w14:paraId="16CF17B3">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3.水管布置（含管件、末端、支吊架）深化平面图；</w:t>
            </w:r>
          </w:p>
          <w:p w14:paraId="21CCE494">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4.阀门、仪表、消防器具和机械设备（水箱、水泵等）安装定位图（含支吊架）；</w:t>
            </w:r>
          </w:p>
          <w:p w14:paraId="4C69BE3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5.给排水预留孔洞平面定位图及标高图；</w:t>
            </w:r>
          </w:p>
          <w:p w14:paraId="0FB3CDA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6.给水排水设备机房深化平、剖、立面图；</w:t>
            </w:r>
          </w:p>
          <w:p w14:paraId="7FE6436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7.建筑小区（室外）给水排水总平面定位图及标高图；</w:t>
            </w:r>
          </w:p>
          <w:p w14:paraId="3FB5CE25">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8.建筑室内给水排水平面定位图及标高图；</w:t>
            </w:r>
          </w:p>
          <w:p w14:paraId="3CB22C98">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9.水塔（箱）、水池配管定位图及标高图；</w:t>
            </w:r>
          </w:p>
          <w:p w14:paraId="1A65A42E">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10.水泵房平面、剖面布置定位图及标高图；</w:t>
            </w:r>
          </w:p>
          <w:p w14:paraId="48582DD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11.给水排水局部深化详图。</w:t>
            </w:r>
          </w:p>
        </w:tc>
        <w:tc>
          <w:tcPr>
            <w:tcW w:w="382" w:type="pct"/>
            <w:vAlign w:val="center"/>
          </w:tcPr>
          <w:p w14:paraId="79E33C4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w:t>
            </w:r>
          </w:p>
          <w:p w14:paraId="1D8BC82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753FE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2" w:hRule="atLeast"/>
          <w:jc w:val="center"/>
        </w:trPr>
        <w:tc>
          <w:tcPr>
            <w:tcW w:w="451" w:type="pct"/>
            <w:vMerge w:val="continue"/>
            <w:vAlign w:val="center"/>
          </w:tcPr>
          <w:p w14:paraId="59ED13DF">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7720474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Merge w:val="restart"/>
            <w:vAlign w:val="center"/>
          </w:tcPr>
          <w:p w14:paraId="2C5B2C8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暖通模型深化</w:t>
            </w:r>
          </w:p>
          <w:p w14:paraId="40C85105">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及出图</w:t>
            </w:r>
          </w:p>
        </w:tc>
        <w:tc>
          <w:tcPr>
            <w:tcW w:w="679" w:type="pct"/>
            <w:vAlign w:val="center"/>
          </w:tcPr>
          <w:p w14:paraId="5FD91112">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暖通施工</w:t>
            </w:r>
          </w:p>
          <w:p w14:paraId="2570BAB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深化BIM</w:t>
            </w:r>
          </w:p>
          <w:p w14:paraId="70B84D9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tc>
        <w:tc>
          <w:tcPr>
            <w:tcW w:w="1865" w:type="pct"/>
            <w:vAlign w:val="center"/>
          </w:tcPr>
          <w:p w14:paraId="6985291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冷水机组、溴化锂吸收式机组、换热设备、热泵、锅炉、单元式热水设备、蓄热蓄冷装置等。冷却塔、水泵、膨胀水箱、自动补水定压装置、软化水器、集分水器等。散热器、暖风机、热空气幕、空气加湿器等。风机、换气扇、风幕、除尘器等。组合式空调机组、新风热交换器、新风处理机组、风机盘管、变风量末端、多联式空调机组、房间空调器、单元式空调机、冷冻除湿机组、加湿器、精密空调机、空气净化装置等。管道、风管、风口、阀门、集气罐、热量表、消声器、补偿器、仪表、管道支撑件、设备隔振等。</w:t>
            </w:r>
          </w:p>
        </w:tc>
        <w:tc>
          <w:tcPr>
            <w:tcW w:w="382" w:type="pct"/>
            <w:vAlign w:val="center"/>
          </w:tcPr>
          <w:p w14:paraId="3485463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77E3B26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443CF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3" w:hRule="atLeast"/>
          <w:jc w:val="center"/>
        </w:trPr>
        <w:tc>
          <w:tcPr>
            <w:tcW w:w="451" w:type="pct"/>
            <w:vMerge w:val="continue"/>
            <w:vAlign w:val="center"/>
          </w:tcPr>
          <w:p w14:paraId="309AC5C7">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3CA2314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vMerge w:val="continue"/>
            <w:vAlign w:val="center"/>
          </w:tcPr>
          <w:p w14:paraId="3549E775">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679" w:type="pct"/>
            <w:vAlign w:val="center"/>
          </w:tcPr>
          <w:p w14:paraId="6F414BD8">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暖通施工</w:t>
            </w:r>
          </w:p>
          <w:p w14:paraId="37077D3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深化BIM</w:t>
            </w:r>
          </w:p>
          <w:p w14:paraId="355BF94E">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图纸</w:t>
            </w:r>
          </w:p>
        </w:tc>
        <w:tc>
          <w:tcPr>
            <w:tcW w:w="1865" w:type="pct"/>
            <w:vAlign w:val="center"/>
          </w:tcPr>
          <w:p w14:paraId="2477FA0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1.图纸目录；</w:t>
            </w:r>
          </w:p>
          <w:p w14:paraId="29BEDBF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2.深化说明；</w:t>
            </w:r>
          </w:p>
          <w:p w14:paraId="1A0895C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3.防排烟风管布置（含管件、末端、支吊架）深化平面定位图及标高图；</w:t>
            </w:r>
          </w:p>
          <w:p w14:paraId="5665C17D">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空调水管布置（含管件、末端、支吊架）深化平面定位图及标高图；</w:t>
            </w:r>
          </w:p>
          <w:p w14:paraId="18BCB0F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4.管道、阀门、仪表和机械设备（制冷机、冷却塔、风机等）安装定位图及标高图（含支吊架）；</w:t>
            </w:r>
          </w:p>
          <w:p w14:paraId="19DE351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5.通风空调局部深化详图；</w:t>
            </w:r>
          </w:p>
          <w:p w14:paraId="7CA8B8FB">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6.通风空调预留孔洞平面定位图及标高图；</w:t>
            </w:r>
          </w:p>
          <w:p w14:paraId="6FCD636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7.暖通设备机房深化平、剖、立面定位图及标高图。</w:t>
            </w:r>
          </w:p>
        </w:tc>
        <w:tc>
          <w:tcPr>
            <w:tcW w:w="382" w:type="pct"/>
            <w:vAlign w:val="center"/>
          </w:tcPr>
          <w:p w14:paraId="356B47C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图形</w:t>
            </w:r>
          </w:p>
          <w:p w14:paraId="6FAC68CA">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14073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451" w:type="pct"/>
            <w:vMerge w:val="continue"/>
            <w:vAlign w:val="center"/>
          </w:tcPr>
          <w:p w14:paraId="71F4CB3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restart"/>
            <w:vAlign w:val="center"/>
          </w:tcPr>
          <w:p w14:paraId="5724836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其他</w:t>
            </w:r>
            <w:r>
              <w:rPr>
                <w:rFonts w:hint="eastAsia"/>
                <w:color w:val="000000"/>
                <w:spacing w:val="-3"/>
                <w:sz w:val="21"/>
                <w:szCs w:val="21"/>
                <w:lang w:val="en-US" w:eastAsia="zh-CN"/>
              </w:rPr>
              <w:t>深化设计</w:t>
            </w:r>
            <w:r>
              <w:rPr>
                <w:rFonts w:hint="eastAsia"/>
                <w:color w:val="000000"/>
                <w:spacing w:val="-3"/>
                <w:sz w:val="21"/>
                <w:szCs w:val="21"/>
                <w:lang w:eastAsia="zh-CN"/>
              </w:rPr>
              <w:t>阶段应用</w:t>
            </w:r>
          </w:p>
        </w:tc>
        <w:tc>
          <w:tcPr>
            <w:tcW w:w="866" w:type="pct"/>
            <w:gridSpan w:val="2"/>
            <w:vAlign w:val="center"/>
          </w:tcPr>
          <w:p w14:paraId="2ED2B80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安全文明施工模型深化</w:t>
            </w:r>
          </w:p>
        </w:tc>
        <w:tc>
          <w:tcPr>
            <w:tcW w:w="679" w:type="pct"/>
            <w:vAlign w:val="center"/>
          </w:tcPr>
          <w:p w14:paraId="64EBA13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安全文明</w:t>
            </w:r>
          </w:p>
          <w:p w14:paraId="3E939FC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施工BIM</w:t>
            </w:r>
          </w:p>
          <w:p w14:paraId="406674D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tc>
        <w:tc>
          <w:tcPr>
            <w:tcW w:w="1865" w:type="pct"/>
            <w:vAlign w:val="center"/>
          </w:tcPr>
          <w:p w14:paraId="359DD94A">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防护栏杆、隔离栏杆、底座、垫板、挡脚板、防护盖板、电梯井防护门、安全警示标识等。</w:t>
            </w:r>
          </w:p>
          <w:p w14:paraId="03A5BCA9">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梯段/平台/梁、栏杆/栏板、防滑条等。</w:t>
            </w:r>
          </w:p>
          <w:p w14:paraId="08434B88">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钢管脚手架基础、杆件、架体防护、斜道等。</w:t>
            </w:r>
          </w:p>
          <w:p w14:paraId="18B5535C">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架体基础、杆件、架体防护等。</w:t>
            </w:r>
          </w:p>
          <w:p w14:paraId="7F4BB7AD">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安全装置、附着基础、杆件、架体防护等。</w:t>
            </w:r>
          </w:p>
          <w:p w14:paraId="16D25E16">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支架基础、主节点、支架立柱、立杆、水平杆和斜杆、支架剪刀撑、U型可调支托等。</w:t>
            </w:r>
          </w:p>
          <w:p w14:paraId="1F703DBF">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碗扣架主节点、支架基础、支架立柱、支架水平杆、支架剪刀撑、U型可调支托等。</w:t>
            </w:r>
          </w:p>
          <w:p w14:paraId="2FFD945E">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基层/面层、保温层、其他构造层等。</w:t>
            </w:r>
          </w:p>
          <w:p w14:paraId="2E3194AB">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夹芯板、混凝土基础、斜撑杆等。</w:t>
            </w:r>
          </w:p>
          <w:p w14:paraId="3F2138A4">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定型化栏杆、材料标识牌等。</w:t>
            </w:r>
          </w:p>
          <w:p w14:paraId="7886C138">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门卫室、办公室、会议室、休息亭、停车场等。</w:t>
            </w:r>
          </w:p>
          <w:p w14:paraId="64AF72C9">
            <w:pPr>
              <w:pStyle w:val="68"/>
              <w:numPr>
                <w:ilvl w:val="0"/>
                <w:numId w:val="3"/>
              </w:numPr>
              <w:spacing w:beforeLines="0" w:afterLines="0" w:line="240" w:lineRule="auto"/>
              <w:ind w:left="48" w:leftChars="20" w:right="48" w:rightChars="20" w:firstLine="0" w:firstLineChars="0"/>
              <w:rPr>
                <w:rFonts w:hint="eastAsia"/>
                <w:color w:val="000000"/>
                <w:spacing w:val="-3"/>
                <w:sz w:val="21"/>
                <w:szCs w:val="21"/>
              </w:rPr>
            </w:pPr>
            <w:r>
              <w:rPr>
                <w:rFonts w:hint="eastAsia"/>
                <w:color w:val="000000"/>
                <w:spacing w:val="-3"/>
                <w:sz w:val="21"/>
                <w:szCs w:val="21"/>
              </w:rPr>
              <w:t>宿舍、食堂、盥洗室等。</w:t>
            </w:r>
          </w:p>
        </w:tc>
        <w:tc>
          <w:tcPr>
            <w:tcW w:w="382" w:type="pct"/>
            <w:vAlign w:val="center"/>
          </w:tcPr>
          <w:p w14:paraId="39D36329">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7D8FE31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481662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 w:hRule="atLeast"/>
          <w:jc w:val="center"/>
        </w:trPr>
        <w:tc>
          <w:tcPr>
            <w:tcW w:w="451" w:type="pct"/>
            <w:vMerge w:val="continue"/>
            <w:vAlign w:val="center"/>
          </w:tcPr>
          <w:p w14:paraId="750F4AC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vAlign w:val="center"/>
          </w:tcPr>
          <w:p w14:paraId="66B4C5A7">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tcBorders>
              <w:bottom w:val="single" w:color="auto" w:sz="4" w:space="0"/>
            </w:tcBorders>
            <w:vAlign w:val="center"/>
          </w:tcPr>
          <w:p w14:paraId="400F8031">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施工方案模拟</w:t>
            </w:r>
          </w:p>
          <w:p w14:paraId="2DB5C08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验证及优化</w:t>
            </w:r>
          </w:p>
        </w:tc>
        <w:tc>
          <w:tcPr>
            <w:tcW w:w="679" w:type="pct"/>
            <w:tcBorders>
              <w:bottom w:val="single" w:color="auto" w:sz="4" w:space="0"/>
            </w:tcBorders>
            <w:vAlign w:val="center"/>
          </w:tcPr>
          <w:p w14:paraId="30A8B88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施工方案</w:t>
            </w:r>
          </w:p>
          <w:p w14:paraId="53BB6AE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模拟</w:t>
            </w:r>
          </w:p>
        </w:tc>
        <w:tc>
          <w:tcPr>
            <w:tcW w:w="1865" w:type="pct"/>
            <w:vAlign w:val="center"/>
          </w:tcPr>
          <w:p w14:paraId="58002C2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1.通过BIM模型论证施工方案的可行性，记录不可行施工方案的缺陷与问题，</w:t>
            </w:r>
            <w:r>
              <w:rPr>
                <w:rFonts w:hint="eastAsia"/>
                <w:color w:val="000000"/>
                <w:spacing w:val="-3"/>
                <w:sz w:val="21"/>
                <w:szCs w:val="21"/>
                <w:lang w:val="en-US" w:eastAsia="zh-CN"/>
              </w:rPr>
              <w:t>给予</w:t>
            </w:r>
            <w:r>
              <w:rPr>
                <w:rFonts w:hint="eastAsia"/>
                <w:color w:val="000000"/>
                <w:spacing w:val="-3"/>
                <w:sz w:val="21"/>
                <w:szCs w:val="21"/>
                <w:lang w:eastAsia="zh-CN"/>
              </w:rPr>
              <w:t>优化建议；</w:t>
            </w:r>
          </w:p>
          <w:p w14:paraId="19AABC05">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2.施工方案模拟视频；</w:t>
            </w:r>
          </w:p>
          <w:p w14:paraId="45FBDC37">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3.施工方案可行性分析报告；</w:t>
            </w:r>
          </w:p>
          <w:p w14:paraId="6A3BFFFF">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4.</w:t>
            </w:r>
            <w:r>
              <w:rPr>
                <w:rFonts w:hint="eastAsia"/>
                <w:color w:val="000000"/>
                <w:spacing w:val="-3"/>
                <w:sz w:val="21"/>
                <w:szCs w:val="21"/>
              </w:rPr>
              <w:t>施工方案优化报告。</w:t>
            </w:r>
          </w:p>
        </w:tc>
        <w:tc>
          <w:tcPr>
            <w:tcW w:w="382" w:type="pct"/>
            <w:vAlign w:val="center"/>
          </w:tcPr>
          <w:p w14:paraId="1AD8C78F">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096C7E56">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2237645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4212035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文件</w:t>
            </w:r>
          </w:p>
        </w:tc>
      </w:tr>
      <w:tr w14:paraId="0191A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jc w:val="center"/>
        </w:trPr>
        <w:tc>
          <w:tcPr>
            <w:tcW w:w="451" w:type="pct"/>
            <w:vMerge w:val="restart"/>
            <w:vAlign w:val="center"/>
          </w:tcPr>
          <w:p w14:paraId="1DC1BFE1">
            <w:pPr>
              <w:pStyle w:val="68"/>
              <w:spacing w:beforeLines="0" w:afterLines="0" w:line="240" w:lineRule="auto"/>
              <w:ind w:right="48" w:rightChars="20" w:firstLine="0" w:firstLineChars="0"/>
              <w:jc w:val="center"/>
              <w:rPr>
                <w:rFonts w:hint="eastAsia"/>
                <w:color w:val="000000"/>
                <w:spacing w:val="-3"/>
                <w:sz w:val="21"/>
                <w:szCs w:val="21"/>
              </w:rPr>
            </w:pPr>
            <w:r>
              <w:rPr>
                <w:rFonts w:hint="eastAsia"/>
                <w:color w:val="000000"/>
                <w:spacing w:val="-3"/>
                <w:sz w:val="21"/>
                <w:szCs w:val="21"/>
              </w:rPr>
              <w:t>施工实施阶段</w:t>
            </w:r>
          </w:p>
        </w:tc>
        <w:tc>
          <w:tcPr>
            <w:tcW w:w="753" w:type="pct"/>
            <w:vMerge w:val="restart"/>
            <w:tcBorders>
              <w:right w:val="single" w:color="auto" w:sz="4" w:space="0"/>
            </w:tcBorders>
            <w:vAlign w:val="center"/>
          </w:tcPr>
          <w:p w14:paraId="2CEAD88E">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主体结构施工BIM应用</w:t>
            </w:r>
          </w:p>
        </w:tc>
        <w:tc>
          <w:tcPr>
            <w:tcW w:w="1546" w:type="pct"/>
            <w:gridSpan w:val="3"/>
            <w:tcBorders>
              <w:top w:val="single" w:color="auto" w:sz="4" w:space="0"/>
              <w:left w:val="single" w:color="auto" w:sz="4" w:space="0"/>
              <w:bottom w:val="single" w:color="auto" w:sz="4" w:space="0"/>
              <w:right w:val="single" w:color="auto" w:sz="4" w:space="0"/>
            </w:tcBorders>
            <w:vAlign w:val="center"/>
          </w:tcPr>
          <w:p w14:paraId="488293CE">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地下室工程</w:t>
            </w:r>
          </w:p>
          <w:p w14:paraId="546D25F8">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1865" w:type="pct"/>
            <w:tcBorders>
              <w:left w:val="single" w:color="auto" w:sz="4" w:space="0"/>
            </w:tcBorders>
            <w:vAlign w:val="center"/>
          </w:tcPr>
          <w:p w14:paraId="7A5676A7">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w:t>
            </w:r>
            <w:r>
              <w:rPr>
                <w:rFonts w:hint="eastAsia"/>
                <w:color w:val="000000"/>
                <w:spacing w:val="-3"/>
                <w:sz w:val="21"/>
                <w:szCs w:val="21"/>
              </w:rPr>
              <w:t>地下室土方回填深化模型</w:t>
            </w:r>
            <w:r>
              <w:rPr>
                <w:rFonts w:hint="eastAsia"/>
                <w:color w:val="000000"/>
                <w:spacing w:val="-3"/>
                <w:sz w:val="21"/>
                <w:szCs w:val="21"/>
                <w:lang w:eastAsia="zh-CN"/>
              </w:rPr>
              <w:t>；</w:t>
            </w:r>
          </w:p>
          <w:p w14:paraId="6212E385">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2.地下室后浇带节点模型；</w:t>
            </w:r>
          </w:p>
          <w:p w14:paraId="09AF5317">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3.地下室高支模节点模型；</w:t>
            </w:r>
          </w:p>
          <w:p w14:paraId="261350CE">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4.地下室施工缝节点模型；</w:t>
            </w:r>
          </w:p>
          <w:p w14:paraId="4E0FB23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5.梁柱钢筋节点模型（加腋区）；</w:t>
            </w:r>
          </w:p>
          <w:p w14:paraId="4B340D5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6.地下室土方回填工艺模拟视频；</w:t>
            </w:r>
          </w:p>
          <w:p w14:paraId="26EFBE8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7.地下室计划进度模拟视频；</w:t>
            </w:r>
          </w:p>
          <w:p w14:paraId="566C522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8.地下室进度纠偏视频。</w:t>
            </w:r>
          </w:p>
        </w:tc>
        <w:tc>
          <w:tcPr>
            <w:tcW w:w="382" w:type="pct"/>
            <w:tcBorders>
              <w:left w:val="single" w:color="auto" w:sz="4" w:space="0"/>
            </w:tcBorders>
            <w:vAlign w:val="center"/>
          </w:tcPr>
          <w:p w14:paraId="14985C3E">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3417613C">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7FFA02C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354A61A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文件</w:t>
            </w:r>
          </w:p>
        </w:tc>
      </w:tr>
      <w:tr w14:paraId="673F9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jc w:val="center"/>
        </w:trPr>
        <w:tc>
          <w:tcPr>
            <w:tcW w:w="451" w:type="pct"/>
            <w:vMerge w:val="continue"/>
            <w:vAlign w:val="center"/>
          </w:tcPr>
          <w:p w14:paraId="4B956A86">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3E2482F4">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1546" w:type="pct"/>
            <w:gridSpan w:val="3"/>
            <w:tcBorders>
              <w:top w:val="single" w:color="auto" w:sz="4" w:space="0"/>
              <w:left w:val="single" w:color="auto" w:sz="4" w:space="0"/>
              <w:bottom w:val="single" w:color="auto" w:sz="4" w:space="0"/>
              <w:right w:val="single" w:color="auto" w:sz="4" w:space="0"/>
            </w:tcBorders>
            <w:vAlign w:val="center"/>
          </w:tcPr>
          <w:p w14:paraId="19C09BA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上部主体结构工程</w:t>
            </w:r>
          </w:p>
          <w:p w14:paraId="0D1FA39F">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1865" w:type="pct"/>
            <w:tcBorders>
              <w:left w:val="single" w:color="auto" w:sz="4" w:space="0"/>
            </w:tcBorders>
            <w:vAlign w:val="center"/>
          </w:tcPr>
          <w:p w14:paraId="11D4B15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1.结构样板模型；</w:t>
            </w:r>
          </w:p>
          <w:p w14:paraId="27A4921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2.结构预留洞口模型；</w:t>
            </w:r>
          </w:p>
          <w:p w14:paraId="6F84CE9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3.直螺纹钢筋节点模型；</w:t>
            </w:r>
          </w:p>
          <w:p w14:paraId="54F5B7E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4.剪力墙钢筋节点模型；</w:t>
            </w:r>
          </w:p>
          <w:p w14:paraId="719D7607">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5.楼板预留孔洞及套管定位图纸；</w:t>
            </w:r>
          </w:p>
          <w:p w14:paraId="40C5EB92">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6.上部主体结构进度模拟视频；</w:t>
            </w:r>
          </w:p>
          <w:p w14:paraId="03EB11C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7.项目整体结构进度模拟视频；</w:t>
            </w:r>
          </w:p>
          <w:p w14:paraId="6C162C60">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8.项目整体结构进度纠偏视频。</w:t>
            </w:r>
          </w:p>
        </w:tc>
        <w:tc>
          <w:tcPr>
            <w:tcW w:w="382" w:type="pct"/>
            <w:tcBorders>
              <w:left w:val="single" w:color="auto" w:sz="4" w:space="0"/>
            </w:tcBorders>
            <w:vAlign w:val="center"/>
          </w:tcPr>
          <w:p w14:paraId="29B14F5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123DAF2D">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6375FA68">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4014564D">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rPr>
              <w:t>文件</w:t>
            </w:r>
          </w:p>
        </w:tc>
      </w:tr>
      <w:tr w14:paraId="4798C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451" w:type="pct"/>
            <w:vMerge w:val="continue"/>
            <w:vAlign w:val="center"/>
          </w:tcPr>
          <w:p w14:paraId="0EB99F8A">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022A33AC">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1546" w:type="pct"/>
            <w:gridSpan w:val="3"/>
            <w:tcBorders>
              <w:top w:val="single" w:color="auto" w:sz="4" w:space="0"/>
              <w:left w:val="single" w:color="auto" w:sz="4" w:space="0"/>
              <w:bottom w:val="single" w:color="auto" w:sz="4" w:space="0"/>
              <w:right w:val="single" w:color="auto" w:sz="4" w:space="0"/>
            </w:tcBorders>
            <w:vAlign w:val="center"/>
          </w:tcPr>
          <w:p w14:paraId="280D0C5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屋面工程</w:t>
            </w:r>
          </w:p>
          <w:p w14:paraId="179F9B6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1865" w:type="pct"/>
            <w:tcBorders>
              <w:left w:val="single" w:color="auto" w:sz="4" w:space="0"/>
            </w:tcBorders>
            <w:vAlign w:val="center"/>
          </w:tcPr>
          <w:p w14:paraId="6118E268">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1.屋面铺砖样板模型；</w:t>
            </w:r>
          </w:p>
          <w:p w14:paraId="12B2878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2.屋面防水工艺模拟视频。</w:t>
            </w:r>
          </w:p>
        </w:tc>
        <w:tc>
          <w:tcPr>
            <w:tcW w:w="382" w:type="pct"/>
            <w:tcBorders>
              <w:left w:val="single" w:color="auto" w:sz="4" w:space="0"/>
            </w:tcBorders>
            <w:vAlign w:val="center"/>
          </w:tcPr>
          <w:p w14:paraId="6605EE0D">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0C8A68C7">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34E25E0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6B3E142C">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54D39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451" w:type="pct"/>
            <w:vMerge w:val="continue"/>
            <w:vAlign w:val="center"/>
          </w:tcPr>
          <w:p w14:paraId="4C69A49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0BDC5E59">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tcBorders>
              <w:top w:val="single" w:color="auto" w:sz="4" w:space="0"/>
              <w:left w:val="single" w:color="auto" w:sz="4" w:space="0"/>
              <w:bottom w:val="single" w:color="auto" w:sz="4" w:space="0"/>
              <w:right w:val="single" w:color="auto" w:sz="4" w:space="0"/>
            </w:tcBorders>
            <w:vAlign w:val="center"/>
          </w:tcPr>
          <w:p w14:paraId="201C2AD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外墙工程</w:t>
            </w:r>
          </w:p>
          <w:p w14:paraId="73A53267">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2544" w:type="pct"/>
            <w:gridSpan w:val="2"/>
            <w:tcBorders>
              <w:left w:val="single" w:color="auto" w:sz="4" w:space="0"/>
            </w:tcBorders>
            <w:vAlign w:val="center"/>
          </w:tcPr>
          <w:p w14:paraId="238B9C9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1.外墙施工缝节点模型；</w:t>
            </w:r>
          </w:p>
          <w:p w14:paraId="3E043556">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2.外墙防水深化模型；</w:t>
            </w:r>
          </w:p>
          <w:p w14:paraId="427EF936">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3.外墙防水工艺模拟视频。</w:t>
            </w:r>
          </w:p>
        </w:tc>
        <w:tc>
          <w:tcPr>
            <w:tcW w:w="382" w:type="pct"/>
            <w:tcBorders>
              <w:left w:val="single" w:color="auto" w:sz="4" w:space="0"/>
            </w:tcBorders>
            <w:vAlign w:val="center"/>
          </w:tcPr>
          <w:p w14:paraId="1C2B65B6">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47E9A978">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6A173CD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188581DC">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1EACBA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jc w:val="center"/>
        </w:trPr>
        <w:tc>
          <w:tcPr>
            <w:tcW w:w="451" w:type="pct"/>
            <w:vMerge w:val="continue"/>
            <w:vAlign w:val="center"/>
          </w:tcPr>
          <w:p w14:paraId="554F1E41">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5748982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tcBorders>
              <w:top w:val="single" w:color="auto" w:sz="4" w:space="0"/>
              <w:left w:val="single" w:color="auto" w:sz="4" w:space="0"/>
              <w:bottom w:val="single" w:color="auto" w:sz="4" w:space="0"/>
              <w:right w:val="single" w:color="auto" w:sz="4" w:space="0"/>
            </w:tcBorders>
            <w:vAlign w:val="center"/>
          </w:tcPr>
          <w:p w14:paraId="1700EEC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二次砌体工程</w:t>
            </w:r>
          </w:p>
          <w:p w14:paraId="19D4F208">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2544" w:type="pct"/>
            <w:gridSpan w:val="2"/>
            <w:tcBorders>
              <w:left w:val="single" w:color="auto" w:sz="4" w:space="0"/>
            </w:tcBorders>
            <w:vAlign w:val="center"/>
          </w:tcPr>
          <w:p w14:paraId="1955D70E">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1.砌体样板模型；</w:t>
            </w:r>
          </w:p>
          <w:p w14:paraId="0D27E5C4">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2.双墙砌体深化模型；</w:t>
            </w:r>
          </w:p>
          <w:p w14:paraId="4EA65416">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3.双墙砌体工艺模拟视频；</w:t>
            </w:r>
          </w:p>
          <w:p w14:paraId="5DF4BF8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4.砌体工艺技术交底文件；</w:t>
            </w:r>
          </w:p>
          <w:p w14:paraId="1165BC8D">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5.二次砌体工程量统计表；</w:t>
            </w:r>
          </w:p>
          <w:p w14:paraId="06FF1A69">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6.二次砌体预留洞口图纸。</w:t>
            </w:r>
          </w:p>
        </w:tc>
        <w:tc>
          <w:tcPr>
            <w:tcW w:w="382" w:type="pct"/>
            <w:tcBorders>
              <w:left w:val="single" w:color="auto" w:sz="4" w:space="0"/>
            </w:tcBorders>
            <w:vAlign w:val="center"/>
          </w:tcPr>
          <w:p w14:paraId="03A4CF9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64BBA199">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0D33661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07DF5AD8">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788F5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451" w:type="pct"/>
            <w:vMerge w:val="continue"/>
            <w:tcBorders>
              <w:bottom w:val="nil"/>
            </w:tcBorders>
            <w:vAlign w:val="center"/>
          </w:tcPr>
          <w:p w14:paraId="637E9CC0">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restart"/>
            <w:tcBorders>
              <w:bottom w:val="nil"/>
            </w:tcBorders>
            <w:vAlign w:val="center"/>
          </w:tcPr>
          <w:p w14:paraId="0B505B8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其他分项</w:t>
            </w:r>
          </w:p>
          <w:p w14:paraId="24D4F5FC">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施工BIM</w:t>
            </w:r>
          </w:p>
          <w:p w14:paraId="18ED7C25">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应用</w:t>
            </w:r>
          </w:p>
        </w:tc>
        <w:tc>
          <w:tcPr>
            <w:tcW w:w="866" w:type="pct"/>
            <w:gridSpan w:val="2"/>
            <w:tcBorders>
              <w:top w:val="single" w:color="auto" w:sz="4" w:space="0"/>
            </w:tcBorders>
            <w:vAlign w:val="center"/>
          </w:tcPr>
          <w:p w14:paraId="69C068B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装饰装修工程</w:t>
            </w:r>
          </w:p>
          <w:p w14:paraId="157EF79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2544" w:type="pct"/>
            <w:gridSpan w:val="2"/>
            <w:vAlign w:val="center"/>
          </w:tcPr>
          <w:p w14:paraId="42EC7EDF">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1.装饰装修深化模型；</w:t>
            </w:r>
          </w:p>
          <w:p w14:paraId="05CBFAE5">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2.重点区域漫游视频；</w:t>
            </w:r>
          </w:p>
          <w:p w14:paraId="7D64DA69">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3.</w:t>
            </w:r>
            <w:r>
              <w:rPr>
                <w:rFonts w:hint="eastAsia"/>
                <w:color w:val="000000"/>
                <w:spacing w:val="-3"/>
                <w:sz w:val="21"/>
                <w:szCs w:val="21"/>
              </w:rPr>
              <w:t>精装修样板模型</w:t>
            </w:r>
            <w:r>
              <w:rPr>
                <w:rFonts w:hint="eastAsia"/>
                <w:color w:val="000000"/>
                <w:spacing w:val="-3"/>
                <w:sz w:val="21"/>
                <w:szCs w:val="21"/>
                <w:lang w:eastAsia="zh-CN"/>
              </w:rPr>
              <w:t>。</w:t>
            </w:r>
          </w:p>
        </w:tc>
        <w:tc>
          <w:tcPr>
            <w:tcW w:w="382" w:type="pct"/>
            <w:vAlign w:val="center"/>
          </w:tcPr>
          <w:p w14:paraId="211BE95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46D306AB">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28B3AF1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10506DC2">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32D6F3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 w:hRule="atLeast"/>
          <w:jc w:val="center"/>
        </w:trPr>
        <w:tc>
          <w:tcPr>
            <w:tcW w:w="451" w:type="pct"/>
            <w:vMerge w:val="continue"/>
            <w:tcBorders>
              <w:top w:val="nil"/>
            </w:tcBorders>
            <w:vAlign w:val="center"/>
          </w:tcPr>
          <w:p w14:paraId="2DFB76AB">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top w:val="nil"/>
            </w:tcBorders>
            <w:vAlign w:val="center"/>
          </w:tcPr>
          <w:p w14:paraId="230454AA">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tcBorders>
              <w:bottom w:val="single" w:color="auto" w:sz="4" w:space="0"/>
            </w:tcBorders>
            <w:vAlign w:val="center"/>
          </w:tcPr>
          <w:p w14:paraId="7830CFB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园林景观工程</w:t>
            </w:r>
          </w:p>
          <w:p w14:paraId="039E07D6">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2544" w:type="pct"/>
            <w:gridSpan w:val="2"/>
            <w:vAlign w:val="center"/>
          </w:tcPr>
          <w:p w14:paraId="609F5A8E">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1.园林景观深化模型；</w:t>
            </w:r>
          </w:p>
          <w:p w14:paraId="5C61F42B">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2.重点区域漫游视频。</w:t>
            </w:r>
          </w:p>
        </w:tc>
        <w:tc>
          <w:tcPr>
            <w:tcW w:w="382" w:type="pct"/>
            <w:vAlign w:val="center"/>
          </w:tcPr>
          <w:p w14:paraId="34E0F5C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3540C8AD">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115F6D57">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14F269F1">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0BFC9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jc w:val="center"/>
        </w:trPr>
        <w:tc>
          <w:tcPr>
            <w:tcW w:w="451" w:type="pct"/>
            <w:vMerge w:val="continue"/>
            <w:vAlign w:val="center"/>
          </w:tcPr>
          <w:p w14:paraId="7B364162">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6B7757BE">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333" w:type="pct"/>
            <w:vMerge w:val="restart"/>
            <w:tcBorders>
              <w:top w:val="single" w:color="auto" w:sz="4" w:space="0"/>
              <w:left w:val="single" w:color="auto" w:sz="4" w:space="0"/>
            </w:tcBorders>
            <w:vAlign w:val="center"/>
          </w:tcPr>
          <w:p w14:paraId="5C6DF9B3">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幕墙工程</w:t>
            </w:r>
          </w:p>
          <w:p w14:paraId="0211349A">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533" w:type="pct"/>
            <w:tcBorders>
              <w:top w:val="single" w:color="auto" w:sz="4" w:space="0"/>
              <w:left w:val="single" w:color="auto" w:sz="4" w:space="0"/>
              <w:bottom w:val="single" w:color="auto" w:sz="4" w:space="0"/>
            </w:tcBorders>
            <w:vAlign w:val="center"/>
          </w:tcPr>
          <w:p w14:paraId="691BB2FD">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石材幕墙工程BIM应用交付</w:t>
            </w:r>
          </w:p>
        </w:tc>
        <w:tc>
          <w:tcPr>
            <w:tcW w:w="2544" w:type="pct"/>
            <w:gridSpan w:val="2"/>
            <w:vAlign w:val="center"/>
          </w:tcPr>
          <w:p w14:paraId="66AE72D8">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1.立面幕墙龙骨深化模型；</w:t>
            </w:r>
          </w:p>
          <w:p w14:paraId="4D78BEA1">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2.立面幕墙预埋件深化模型；</w:t>
            </w:r>
          </w:p>
          <w:p w14:paraId="2C36117D">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3.</w:t>
            </w:r>
            <w:r>
              <w:rPr>
                <w:rFonts w:hint="eastAsia"/>
                <w:color w:val="000000"/>
                <w:spacing w:val="-3"/>
                <w:sz w:val="21"/>
                <w:szCs w:val="21"/>
              </w:rPr>
              <w:t>幕墙样板模型</w:t>
            </w:r>
            <w:r>
              <w:rPr>
                <w:rFonts w:hint="eastAsia"/>
                <w:color w:val="000000"/>
                <w:spacing w:val="-3"/>
                <w:sz w:val="21"/>
                <w:szCs w:val="21"/>
                <w:lang w:eastAsia="zh-CN"/>
              </w:rPr>
              <w:t>。</w:t>
            </w:r>
          </w:p>
        </w:tc>
        <w:tc>
          <w:tcPr>
            <w:tcW w:w="382" w:type="pct"/>
            <w:vAlign w:val="center"/>
          </w:tcPr>
          <w:p w14:paraId="3149AA9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72218BC9">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6D874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jc w:val="center"/>
        </w:trPr>
        <w:tc>
          <w:tcPr>
            <w:tcW w:w="451" w:type="pct"/>
            <w:vMerge w:val="continue"/>
            <w:vAlign w:val="center"/>
          </w:tcPr>
          <w:p w14:paraId="4C1D9FD6">
            <w:pPr>
              <w:pStyle w:val="68"/>
              <w:spacing w:beforeLines="0" w:afterLines="0" w:line="240" w:lineRule="auto"/>
              <w:ind w:left="48" w:leftChars="20" w:right="48" w:rightChars="20" w:firstLine="0" w:firstLineChars="0"/>
              <w:jc w:val="center"/>
            </w:pPr>
          </w:p>
        </w:tc>
        <w:tc>
          <w:tcPr>
            <w:tcW w:w="753" w:type="pct"/>
            <w:vMerge w:val="continue"/>
            <w:tcBorders>
              <w:right w:val="single" w:color="auto" w:sz="4" w:space="0"/>
            </w:tcBorders>
            <w:vAlign w:val="center"/>
          </w:tcPr>
          <w:p w14:paraId="12D4FFD4">
            <w:pPr>
              <w:pStyle w:val="68"/>
              <w:spacing w:beforeLines="0" w:afterLines="0" w:line="240" w:lineRule="auto"/>
              <w:ind w:left="48" w:leftChars="20" w:right="48" w:rightChars="20" w:firstLine="0" w:firstLineChars="0"/>
              <w:jc w:val="center"/>
            </w:pPr>
          </w:p>
        </w:tc>
        <w:tc>
          <w:tcPr>
            <w:tcW w:w="333" w:type="pct"/>
            <w:vMerge w:val="continue"/>
            <w:tcBorders>
              <w:left w:val="single" w:color="auto" w:sz="4" w:space="0"/>
            </w:tcBorders>
            <w:vAlign w:val="center"/>
          </w:tcPr>
          <w:p w14:paraId="2203268A">
            <w:pPr>
              <w:pStyle w:val="68"/>
              <w:spacing w:beforeLines="0" w:afterLines="0" w:line="240" w:lineRule="auto"/>
              <w:ind w:left="48" w:leftChars="20" w:right="48" w:rightChars="20" w:firstLine="0" w:firstLineChars="0"/>
              <w:jc w:val="center"/>
            </w:pPr>
          </w:p>
        </w:tc>
        <w:tc>
          <w:tcPr>
            <w:tcW w:w="533" w:type="pct"/>
            <w:tcBorders>
              <w:top w:val="single" w:color="auto" w:sz="4" w:space="0"/>
              <w:left w:val="single" w:color="auto" w:sz="4" w:space="0"/>
              <w:bottom w:val="single" w:color="auto" w:sz="4" w:space="0"/>
            </w:tcBorders>
            <w:vAlign w:val="center"/>
          </w:tcPr>
          <w:p w14:paraId="10AD4AD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玻璃幕墙工程BIM应用交付</w:t>
            </w:r>
          </w:p>
        </w:tc>
        <w:tc>
          <w:tcPr>
            <w:tcW w:w="2544" w:type="pct"/>
            <w:gridSpan w:val="2"/>
            <w:vAlign w:val="center"/>
          </w:tcPr>
          <w:p w14:paraId="6532B3BD">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1.玻璃幕墙分割深化模型；</w:t>
            </w:r>
          </w:p>
          <w:p w14:paraId="0E69777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2.幕墙预埋件工程量统计表。</w:t>
            </w:r>
          </w:p>
        </w:tc>
        <w:tc>
          <w:tcPr>
            <w:tcW w:w="382" w:type="pct"/>
            <w:vAlign w:val="center"/>
          </w:tcPr>
          <w:p w14:paraId="0E0176D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60A675F6">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0E0A5F54">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4476EE94">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rPr>
              <w:t>文件</w:t>
            </w:r>
          </w:p>
        </w:tc>
      </w:tr>
      <w:tr w14:paraId="64D0F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jc w:val="center"/>
        </w:trPr>
        <w:tc>
          <w:tcPr>
            <w:tcW w:w="451" w:type="pct"/>
            <w:vMerge w:val="continue"/>
            <w:vAlign w:val="center"/>
          </w:tcPr>
          <w:p w14:paraId="13920FEA">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753" w:type="pct"/>
            <w:vMerge w:val="continue"/>
            <w:tcBorders>
              <w:right w:val="single" w:color="auto" w:sz="4" w:space="0"/>
            </w:tcBorders>
            <w:vAlign w:val="center"/>
          </w:tcPr>
          <w:p w14:paraId="65795228">
            <w:pPr>
              <w:pStyle w:val="68"/>
              <w:spacing w:beforeLines="0" w:afterLines="0" w:line="240" w:lineRule="auto"/>
              <w:ind w:left="48" w:leftChars="20" w:right="48" w:rightChars="20" w:firstLine="0" w:firstLineChars="0"/>
              <w:jc w:val="center"/>
              <w:rPr>
                <w:rFonts w:hint="eastAsia"/>
                <w:color w:val="000000"/>
                <w:spacing w:val="-3"/>
                <w:sz w:val="21"/>
                <w:szCs w:val="21"/>
              </w:rPr>
            </w:pPr>
          </w:p>
        </w:tc>
        <w:tc>
          <w:tcPr>
            <w:tcW w:w="866" w:type="pct"/>
            <w:gridSpan w:val="2"/>
            <w:tcBorders>
              <w:top w:val="single" w:color="auto" w:sz="4" w:space="0"/>
              <w:left w:val="single" w:color="auto" w:sz="4" w:space="0"/>
              <w:bottom w:val="single" w:color="auto" w:sz="4" w:space="0"/>
            </w:tcBorders>
            <w:vAlign w:val="center"/>
          </w:tcPr>
          <w:p w14:paraId="7A51B3AD">
            <w:pPr>
              <w:pStyle w:val="68"/>
              <w:tabs>
                <w:tab w:val="center" w:pos="1421"/>
                <w:tab w:val="right" w:pos="2674"/>
              </w:tabs>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机电安装工程</w:t>
            </w:r>
          </w:p>
          <w:p w14:paraId="2B66EA50">
            <w:pPr>
              <w:pStyle w:val="68"/>
              <w:spacing w:beforeLines="0" w:afterLines="0" w:line="240" w:lineRule="auto"/>
              <w:ind w:left="48" w:leftChars="20"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BIM应用交付</w:t>
            </w:r>
          </w:p>
        </w:tc>
        <w:tc>
          <w:tcPr>
            <w:tcW w:w="2544" w:type="pct"/>
            <w:gridSpan w:val="2"/>
            <w:vAlign w:val="center"/>
          </w:tcPr>
          <w:p w14:paraId="2637B949">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1.机电各专业BIM深化模型；</w:t>
            </w:r>
          </w:p>
          <w:p w14:paraId="42CBDE2A">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2.机电各专业BIM深化图纸；</w:t>
            </w:r>
          </w:p>
          <w:p w14:paraId="2216D763">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3.机电各专业BIM管线综合优化报告；</w:t>
            </w:r>
          </w:p>
          <w:p w14:paraId="6151BA8B">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4.管线复杂节点深化模型；</w:t>
            </w:r>
          </w:p>
          <w:p w14:paraId="176E4E93">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5.地下室机电管线安装工艺模拟视频；</w:t>
            </w:r>
          </w:p>
          <w:p w14:paraId="7DC91C57">
            <w:pPr>
              <w:pStyle w:val="68"/>
              <w:spacing w:beforeLines="0" w:afterLines="0" w:line="240" w:lineRule="auto"/>
              <w:ind w:left="48" w:leftChars="20" w:right="48" w:rightChars="20" w:firstLine="0" w:firstLineChars="0"/>
              <w:rPr>
                <w:rFonts w:hint="eastAsia"/>
                <w:color w:val="000000"/>
                <w:spacing w:val="-3"/>
                <w:sz w:val="21"/>
                <w:szCs w:val="21"/>
                <w:lang w:eastAsia="zh-CN"/>
              </w:rPr>
            </w:pPr>
            <w:r>
              <w:rPr>
                <w:rFonts w:hint="eastAsia"/>
                <w:color w:val="000000"/>
                <w:spacing w:val="-3"/>
                <w:sz w:val="21"/>
                <w:szCs w:val="21"/>
                <w:lang w:eastAsia="zh-CN"/>
              </w:rPr>
              <w:t>6.机电管线安装进度计划4D模拟；</w:t>
            </w:r>
          </w:p>
          <w:p w14:paraId="275125A0">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lang w:eastAsia="zh-CN"/>
              </w:rPr>
              <w:t>7.</w:t>
            </w:r>
            <w:r>
              <w:rPr>
                <w:rFonts w:hint="eastAsia"/>
                <w:color w:val="000000"/>
                <w:spacing w:val="-3"/>
                <w:sz w:val="21"/>
                <w:szCs w:val="21"/>
              </w:rPr>
              <w:t>设备吊装模拟</w:t>
            </w:r>
            <w:r>
              <w:rPr>
                <w:rFonts w:hint="eastAsia"/>
                <w:color w:val="000000"/>
                <w:spacing w:val="-3"/>
                <w:sz w:val="21"/>
                <w:szCs w:val="21"/>
                <w:lang w:eastAsia="zh-CN"/>
              </w:rPr>
              <w:t>。</w:t>
            </w:r>
          </w:p>
        </w:tc>
        <w:tc>
          <w:tcPr>
            <w:tcW w:w="382" w:type="pct"/>
            <w:vAlign w:val="center"/>
          </w:tcPr>
          <w:p w14:paraId="6F1D33E1">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模型</w:t>
            </w:r>
          </w:p>
          <w:p w14:paraId="4E5C26E3">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404CBEE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文本</w:t>
            </w:r>
          </w:p>
          <w:p w14:paraId="5B43DDEF">
            <w:pPr>
              <w:pStyle w:val="68"/>
              <w:spacing w:beforeLines="0" w:afterLines="0" w:line="240" w:lineRule="auto"/>
              <w:ind w:right="48" w:rightChars="20" w:firstLine="0" w:firstLineChars="0"/>
              <w:rPr>
                <w:rFonts w:hint="eastAsia"/>
                <w:color w:val="000000"/>
                <w:spacing w:val="-3"/>
                <w:sz w:val="21"/>
                <w:szCs w:val="21"/>
                <w:lang w:eastAsia="zh-CN"/>
              </w:rPr>
            </w:pPr>
            <w:r>
              <w:rPr>
                <w:rFonts w:hint="eastAsia"/>
                <w:color w:val="000000"/>
                <w:spacing w:val="-3"/>
                <w:sz w:val="21"/>
                <w:szCs w:val="21"/>
              </w:rPr>
              <w:t>文件</w:t>
            </w:r>
            <w:r>
              <w:rPr>
                <w:rFonts w:hint="eastAsia"/>
                <w:color w:val="000000"/>
                <w:spacing w:val="-3"/>
                <w:sz w:val="21"/>
                <w:szCs w:val="21"/>
                <w:lang w:eastAsia="zh-CN"/>
              </w:rPr>
              <w:t>、</w:t>
            </w:r>
          </w:p>
          <w:p w14:paraId="55A60100">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影像</w:t>
            </w:r>
          </w:p>
          <w:p w14:paraId="5C813B69">
            <w:pPr>
              <w:pStyle w:val="68"/>
              <w:spacing w:beforeLines="0" w:afterLines="0" w:line="240" w:lineRule="auto"/>
              <w:ind w:left="48" w:leftChars="20" w:right="48" w:rightChars="20" w:firstLine="0" w:firstLineChars="0"/>
              <w:jc w:val="left"/>
              <w:rPr>
                <w:rFonts w:hint="eastAsia"/>
                <w:color w:val="000000"/>
                <w:spacing w:val="-3"/>
                <w:sz w:val="21"/>
                <w:szCs w:val="21"/>
              </w:rPr>
            </w:pPr>
            <w:r>
              <w:rPr>
                <w:rFonts w:hint="eastAsia"/>
                <w:color w:val="000000"/>
                <w:spacing w:val="-3"/>
                <w:sz w:val="21"/>
                <w:szCs w:val="21"/>
              </w:rPr>
              <w:t>文件</w:t>
            </w:r>
          </w:p>
        </w:tc>
      </w:tr>
      <w:tr w14:paraId="097582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451" w:type="pct"/>
            <w:vAlign w:val="center"/>
          </w:tcPr>
          <w:p w14:paraId="40F59203">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竣工验收阶段</w:t>
            </w:r>
          </w:p>
        </w:tc>
        <w:tc>
          <w:tcPr>
            <w:tcW w:w="753" w:type="pct"/>
            <w:vAlign w:val="center"/>
          </w:tcPr>
          <w:p w14:paraId="27EF622B">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竣工验收</w:t>
            </w:r>
          </w:p>
          <w:p w14:paraId="2595E6BC">
            <w:pPr>
              <w:pStyle w:val="68"/>
              <w:spacing w:beforeLines="0" w:afterLines="0" w:line="240" w:lineRule="auto"/>
              <w:ind w:left="48" w:leftChars="20" w:right="48" w:rightChars="20" w:firstLine="0" w:firstLineChars="0"/>
              <w:jc w:val="center"/>
              <w:rPr>
                <w:rFonts w:hint="eastAsia"/>
                <w:color w:val="000000"/>
                <w:spacing w:val="-3"/>
                <w:sz w:val="21"/>
                <w:szCs w:val="21"/>
              </w:rPr>
            </w:pPr>
            <w:r>
              <w:rPr>
                <w:rFonts w:hint="eastAsia"/>
                <w:color w:val="000000"/>
                <w:spacing w:val="-3"/>
                <w:sz w:val="21"/>
                <w:szCs w:val="21"/>
              </w:rPr>
              <w:t>BIM应用</w:t>
            </w:r>
          </w:p>
        </w:tc>
        <w:tc>
          <w:tcPr>
            <w:tcW w:w="866" w:type="pct"/>
            <w:gridSpan w:val="2"/>
            <w:tcBorders>
              <w:top w:val="single" w:color="auto" w:sz="4" w:space="0"/>
            </w:tcBorders>
            <w:vAlign w:val="center"/>
          </w:tcPr>
          <w:p w14:paraId="02C18F58">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竣工验收</w:t>
            </w:r>
          </w:p>
          <w:p w14:paraId="56A4DCAA">
            <w:pPr>
              <w:pStyle w:val="68"/>
              <w:spacing w:beforeLines="0" w:afterLines="0" w:line="240" w:lineRule="auto"/>
              <w:ind w:right="48" w:rightChars="20" w:firstLine="0" w:firstLineChars="0"/>
              <w:jc w:val="center"/>
              <w:rPr>
                <w:rFonts w:hint="eastAsia"/>
                <w:color w:val="000000"/>
                <w:spacing w:val="-3"/>
                <w:sz w:val="21"/>
                <w:szCs w:val="21"/>
                <w:lang w:eastAsia="zh-CN"/>
              </w:rPr>
            </w:pPr>
            <w:r>
              <w:rPr>
                <w:rFonts w:hint="eastAsia"/>
                <w:color w:val="000000"/>
                <w:spacing w:val="-3"/>
                <w:sz w:val="21"/>
                <w:szCs w:val="21"/>
                <w:lang w:eastAsia="zh-CN"/>
              </w:rPr>
              <w:t>BIM模型交付</w:t>
            </w:r>
          </w:p>
        </w:tc>
        <w:tc>
          <w:tcPr>
            <w:tcW w:w="2927" w:type="pct"/>
            <w:gridSpan w:val="3"/>
            <w:vAlign w:val="center"/>
          </w:tcPr>
          <w:p w14:paraId="0DB23A5C">
            <w:pPr>
              <w:pStyle w:val="68"/>
              <w:spacing w:beforeLines="0" w:afterLines="0" w:line="240" w:lineRule="auto"/>
              <w:ind w:left="48" w:leftChars="20" w:right="48" w:rightChars="20" w:firstLine="0" w:firstLineChars="0"/>
              <w:jc w:val="left"/>
              <w:rPr>
                <w:rFonts w:hint="eastAsia"/>
                <w:color w:val="000000"/>
                <w:spacing w:val="-3"/>
                <w:sz w:val="21"/>
                <w:szCs w:val="21"/>
                <w:lang w:eastAsia="zh-CN"/>
              </w:rPr>
            </w:pPr>
            <w:r>
              <w:rPr>
                <w:rFonts w:hint="eastAsia"/>
                <w:color w:val="000000"/>
                <w:spacing w:val="-3"/>
                <w:sz w:val="21"/>
                <w:szCs w:val="21"/>
                <w:lang w:eastAsia="zh-CN"/>
              </w:rPr>
              <w:t>将竣工预验收与竣工验收合格后形成的验收信息和资料附加或关联到模型中，形成竣工验收模型。</w:t>
            </w:r>
          </w:p>
        </w:tc>
      </w:tr>
    </w:tbl>
    <w:p w14:paraId="2FA9A00E">
      <w:pPr>
        <w:spacing w:before="163" w:after="163"/>
        <w:ind w:firstLine="0" w:firstLineChars="0"/>
        <w:rPr>
          <w:rFonts w:cs="Times New Roman"/>
          <w:sz w:val="21"/>
          <w:szCs w:val="21"/>
          <w:lang w:val="zh-CN"/>
        </w:rPr>
      </w:pPr>
    </w:p>
    <w:sectPr>
      <w:pgSz w:w="11906" w:h="16838"/>
      <w:pgMar w:top="1440" w:right="1800" w:bottom="1440" w:left="1800"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ZFangSong-Z02S">
    <w:altName w:val="宋体"/>
    <w:panose1 w:val="02000000000000000000"/>
    <w:charset w:val="86"/>
    <w:family w:val="auto"/>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ROG Fonts">
    <w:altName w:val="AMGDT"/>
    <w:panose1 w:val="00000500000000000000"/>
    <w:charset w:val="00"/>
    <w:family w:val="auto"/>
    <w:pitch w:val="default"/>
    <w:sig w:usb0="00000000" w:usb1="00000000" w:usb2="00000000" w:usb3="00000000" w:csb0="00000001"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2B36D">
    <w:pPr>
      <w:pStyle w:val="11"/>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16333">
    <w:pPr>
      <w:pStyle w:val="11"/>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36B2">
    <w:pPr>
      <w:pStyle w:val="11"/>
      <w:spacing w:before="120" w:after="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571533"/>
    </w:sdtPr>
    <w:sdtContent>
      <w:p w14:paraId="53BF6C7F">
        <w:pPr>
          <w:pStyle w:val="11"/>
          <w:spacing w:before="120" w:after="120"/>
          <w:ind w:firstLine="360"/>
          <w:jc w:val="center"/>
        </w:pPr>
        <w:r>
          <w:fldChar w:fldCharType="begin"/>
        </w:r>
        <w:r>
          <w:instrText xml:space="preserve"> PAGE   \* MERGEFORMAT </w:instrText>
        </w:r>
        <w:r>
          <w:fldChar w:fldCharType="separate"/>
        </w:r>
        <w:r>
          <w:rPr>
            <w:lang w:val="zh-CN"/>
          </w:rPr>
          <w:t>16</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727F2">
    <w:pPr>
      <w:pStyle w:val="12"/>
      <w:pBdr>
        <w:bottom w:val="none" w:color="auto" w:sz="0" w:space="0"/>
      </w:pBdr>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19755">
    <w:pPr>
      <w:pStyle w:val="12"/>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C45D0">
    <w:pPr>
      <w:pStyle w:val="12"/>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55DE2A"/>
    <w:multiLevelType w:val="singleLevel"/>
    <w:tmpl w:val="A855DE2A"/>
    <w:lvl w:ilvl="0" w:tentative="0">
      <w:start w:val="1"/>
      <w:numFmt w:val="decimal"/>
      <w:suff w:val="nothing"/>
      <w:lvlText w:val="（%1）"/>
      <w:lvlJc w:val="left"/>
    </w:lvl>
  </w:abstractNum>
  <w:abstractNum w:abstractNumId="1">
    <w:nsid w:val="C193A5EA"/>
    <w:multiLevelType w:val="singleLevel"/>
    <w:tmpl w:val="C193A5EA"/>
    <w:lvl w:ilvl="0" w:tentative="0">
      <w:start w:val="1"/>
      <w:numFmt w:val="decimal"/>
      <w:lvlText w:val="%1."/>
      <w:lvlJc w:val="left"/>
      <w:pPr>
        <w:tabs>
          <w:tab w:val="left" w:pos="312"/>
        </w:tabs>
      </w:pPr>
    </w:lvl>
  </w:abstractNum>
  <w:abstractNum w:abstractNumId="2">
    <w:nsid w:val="3ED82F43"/>
    <w:multiLevelType w:val="multilevel"/>
    <w:tmpl w:val="3ED82F43"/>
    <w:lvl w:ilvl="0" w:tentative="0">
      <w:start w:val="1"/>
      <w:numFmt w:val="decimal"/>
      <w:pStyle w:val="57"/>
      <w:lvlText w:val="%1"/>
      <w:lvlJc w:val="left"/>
      <w:pPr>
        <w:ind w:left="0" w:firstLine="0"/>
      </w:pPr>
      <w:rPr>
        <w:rFonts w:hint="default" w:ascii="Times New Roman" w:hAnsi="Times New Roman" w:eastAsia="宋体" w:cs="Times New Roman"/>
        <w:b w:val="0"/>
        <w:i w:val="0"/>
        <w:position w:val="0"/>
        <w:sz w:val="28"/>
      </w:rPr>
    </w:lvl>
    <w:lvl w:ilvl="1" w:tentative="0">
      <w:start w:val="1"/>
      <w:numFmt w:val="decimal"/>
      <w:pStyle w:val="56"/>
      <w:lvlText w:val="%1.%2."/>
      <w:lvlJc w:val="center"/>
      <w:pPr>
        <w:ind w:left="0" w:firstLine="288"/>
      </w:pPr>
      <w:rPr>
        <w:rFonts w:hint="default" w:ascii="Times New Roman" w:hAnsi="Times New Roman" w:eastAsia="宋体"/>
        <w:b w:val="0"/>
        <w:bCs w:val="0"/>
        <w:i w:val="0"/>
        <w:iCs w:val="0"/>
        <w:caps w:val="0"/>
        <w:strike w:val="0"/>
        <w:dstrike w:val="0"/>
        <w:vanish w:val="0"/>
        <w:color w:val="000000"/>
        <w:spacing w:val="0"/>
        <w:position w:val="0"/>
        <w:sz w:val="21"/>
        <w:u w:val="none"/>
        <w:vertAlign w:val="baseline"/>
      </w:rPr>
    </w:lvl>
    <w:lvl w:ilvl="2" w:tentative="0">
      <w:start w:val="1"/>
      <w:numFmt w:val="decimal"/>
      <w:pStyle w:val="58"/>
      <w:lvlText w:val="%1.%2.%3."/>
      <w:lvlJc w:val="left"/>
      <w:pPr>
        <w:ind w:left="0" w:firstLine="0"/>
      </w:pPr>
      <w:rPr>
        <w:rFonts w:hint="default" w:ascii="Times New Roman" w:hAnsi="Times New Roman" w:eastAsia="宋体" w:cs="Times New Roman"/>
        <w:b/>
        <w:i w:val="0"/>
        <w:position w:val="0"/>
        <w:sz w:val="21"/>
      </w:rPr>
    </w:lvl>
    <w:lvl w:ilvl="3" w:tentative="0">
      <w:start w:val="1"/>
      <w:numFmt w:val="decimal"/>
      <w:lvlText w:val="%4"/>
      <w:lvlJc w:val="left"/>
      <w:pPr>
        <w:tabs>
          <w:tab w:val="left" w:pos="1418"/>
        </w:tabs>
        <w:ind w:left="397" w:firstLine="737"/>
      </w:pPr>
      <w:rPr>
        <w:rFonts w:hint="default" w:ascii="Times New Roman" w:hAnsi="Times New Roman" w:cs="Times New Roman"/>
        <w:b/>
        <w:i w:val="0"/>
        <w:position w:val="0"/>
        <w:sz w:val="21"/>
      </w:rPr>
    </w:lvl>
    <w:lvl w:ilvl="4" w:tentative="0">
      <w:start w:val="1"/>
      <w:numFmt w:val="decimal"/>
      <w:lvlText w:val="%3."/>
      <w:lvlJc w:val="left"/>
      <w:pPr>
        <w:tabs>
          <w:tab w:val="left" w:pos="-1"/>
        </w:tabs>
        <w:ind w:left="0" w:firstLine="0"/>
      </w:pPr>
      <w:rPr>
        <w:rFonts w:hint="eastAsia" w:cs="Times New Roman"/>
        <w:position w:val="0"/>
      </w:rPr>
    </w:lvl>
    <w:lvl w:ilvl="5" w:tentative="0">
      <w:start w:val="1"/>
      <w:numFmt w:val="decimal"/>
      <w:lvlText w:val="%3."/>
      <w:lvlJc w:val="left"/>
      <w:pPr>
        <w:tabs>
          <w:tab w:val="left" w:pos="-1"/>
        </w:tabs>
        <w:ind w:left="0" w:firstLine="0"/>
      </w:pPr>
      <w:rPr>
        <w:rFonts w:hint="eastAsia" w:cs="Times New Roman"/>
        <w:position w:val="0"/>
      </w:rPr>
    </w:lvl>
    <w:lvl w:ilvl="6" w:tentative="0">
      <w:start w:val="1"/>
      <w:numFmt w:val="decimal"/>
      <w:lvlText w:val="%3."/>
      <w:lvlJc w:val="left"/>
      <w:pPr>
        <w:tabs>
          <w:tab w:val="left" w:pos="-1"/>
        </w:tabs>
        <w:ind w:left="0" w:firstLine="0"/>
      </w:pPr>
      <w:rPr>
        <w:rFonts w:hint="eastAsia" w:cs="Times New Roman"/>
        <w:position w:val="0"/>
      </w:rPr>
    </w:lvl>
    <w:lvl w:ilvl="7" w:tentative="0">
      <w:start w:val="1"/>
      <w:numFmt w:val="decimal"/>
      <w:lvlText w:val="%3."/>
      <w:lvlJc w:val="left"/>
      <w:pPr>
        <w:tabs>
          <w:tab w:val="left" w:pos="-1"/>
        </w:tabs>
        <w:ind w:left="0" w:firstLine="0"/>
      </w:pPr>
      <w:rPr>
        <w:rFonts w:hint="eastAsia" w:cs="Times New Roman"/>
        <w:position w:val="0"/>
      </w:rPr>
    </w:lvl>
    <w:lvl w:ilvl="8" w:tentative="0">
      <w:start w:val="1"/>
      <w:numFmt w:val="decimal"/>
      <w:lvlText w:val="%3."/>
      <w:lvlJc w:val="left"/>
      <w:pPr>
        <w:tabs>
          <w:tab w:val="left" w:pos="-1"/>
        </w:tabs>
        <w:ind w:left="0" w:firstLine="0"/>
      </w:pPr>
      <w:rPr>
        <w:rFonts w:hint="eastAsia" w:cs="Times New Roman"/>
        <w:position w:val="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lkNzc5YTQ5YzVhODcxZDcyNGMwNzRlYWE4NzI1ZDQifQ=="/>
  </w:docVars>
  <w:rsids>
    <w:rsidRoot w:val="00CF2976"/>
    <w:rsid w:val="000001D9"/>
    <w:rsid w:val="00003005"/>
    <w:rsid w:val="00003340"/>
    <w:rsid w:val="00011939"/>
    <w:rsid w:val="00012220"/>
    <w:rsid w:val="000129F3"/>
    <w:rsid w:val="00012B2C"/>
    <w:rsid w:val="000153BD"/>
    <w:rsid w:val="00015B52"/>
    <w:rsid w:val="00016E90"/>
    <w:rsid w:val="000170A3"/>
    <w:rsid w:val="000207D2"/>
    <w:rsid w:val="000216DB"/>
    <w:rsid w:val="00023894"/>
    <w:rsid w:val="00024C09"/>
    <w:rsid w:val="00025D00"/>
    <w:rsid w:val="00026591"/>
    <w:rsid w:val="0002681B"/>
    <w:rsid w:val="00027232"/>
    <w:rsid w:val="00027551"/>
    <w:rsid w:val="00030127"/>
    <w:rsid w:val="000308FC"/>
    <w:rsid w:val="000317EF"/>
    <w:rsid w:val="0003262A"/>
    <w:rsid w:val="000326A0"/>
    <w:rsid w:val="00033DC9"/>
    <w:rsid w:val="00034605"/>
    <w:rsid w:val="00034B69"/>
    <w:rsid w:val="00034DF4"/>
    <w:rsid w:val="000351B9"/>
    <w:rsid w:val="00035471"/>
    <w:rsid w:val="00035524"/>
    <w:rsid w:val="00035EDD"/>
    <w:rsid w:val="000379FD"/>
    <w:rsid w:val="00037FB7"/>
    <w:rsid w:val="0004066B"/>
    <w:rsid w:val="00041B6A"/>
    <w:rsid w:val="00042226"/>
    <w:rsid w:val="000429A3"/>
    <w:rsid w:val="00044000"/>
    <w:rsid w:val="00044D4D"/>
    <w:rsid w:val="00045976"/>
    <w:rsid w:val="000471FA"/>
    <w:rsid w:val="00050211"/>
    <w:rsid w:val="000506E1"/>
    <w:rsid w:val="00051EBC"/>
    <w:rsid w:val="000523E4"/>
    <w:rsid w:val="000534A8"/>
    <w:rsid w:val="0005392F"/>
    <w:rsid w:val="00054188"/>
    <w:rsid w:val="000554BD"/>
    <w:rsid w:val="00056238"/>
    <w:rsid w:val="000566BD"/>
    <w:rsid w:val="00056F6D"/>
    <w:rsid w:val="00057973"/>
    <w:rsid w:val="00057A49"/>
    <w:rsid w:val="00057BC4"/>
    <w:rsid w:val="00062C74"/>
    <w:rsid w:val="00062FC8"/>
    <w:rsid w:val="00063F5B"/>
    <w:rsid w:val="000647DE"/>
    <w:rsid w:val="00064B1A"/>
    <w:rsid w:val="000666C0"/>
    <w:rsid w:val="0006687E"/>
    <w:rsid w:val="0007099A"/>
    <w:rsid w:val="000710F2"/>
    <w:rsid w:val="00072372"/>
    <w:rsid w:val="00072BC3"/>
    <w:rsid w:val="00075594"/>
    <w:rsid w:val="00077607"/>
    <w:rsid w:val="00080D31"/>
    <w:rsid w:val="0008201F"/>
    <w:rsid w:val="00083305"/>
    <w:rsid w:val="0008387C"/>
    <w:rsid w:val="00083D31"/>
    <w:rsid w:val="000852EE"/>
    <w:rsid w:val="00085398"/>
    <w:rsid w:val="000853E2"/>
    <w:rsid w:val="00085886"/>
    <w:rsid w:val="000871E2"/>
    <w:rsid w:val="0008722F"/>
    <w:rsid w:val="000875FA"/>
    <w:rsid w:val="00087A6B"/>
    <w:rsid w:val="00087AF7"/>
    <w:rsid w:val="00090122"/>
    <w:rsid w:val="0009066E"/>
    <w:rsid w:val="000943E5"/>
    <w:rsid w:val="0009440F"/>
    <w:rsid w:val="00097192"/>
    <w:rsid w:val="000A0BC5"/>
    <w:rsid w:val="000A1074"/>
    <w:rsid w:val="000A16BF"/>
    <w:rsid w:val="000A2448"/>
    <w:rsid w:val="000A255A"/>
    <w:rsid w:val="000A275F"/>
    <w:rsid w:val="000A2AD2"/>
    <w:rsid w:val="000A351D"/>
    <w:rsid w:val="000A3681"/>
    <w:rsid w:val="000A3A05"/>
    <w:rsid w:val="000A6202"/>
    <w:rsid w:val="000B0B7A"/>
    <w:rsid w:val="000B0E8A"/>
    <w:rsid w:val="000B2F37"/>
    <w:rsid w:val="000B2F62"/>
    <w:rsid w:val="000B363A"/>
    <w:rsid w:val="000B4979"/>
    <w:rsid w:val="000B56C1"/>
    <w:rsid w:val="000B59F8"/>
    <w:rsid w:val="000B5BE6"/>
    <w:rsid w:val="000B717E"/>
    <w:rsid w:val="000C0903"/>
    <w:rsid w:val="000C099D"/>
    <w:rsid w:val="000C2C67"/>
    <w:rsid w:val="000C2EFA"/>
    <w:rsid w:val="000C3015"/>
    <w:rsid w:val="000C3518"/>
    <w:rsid w:val="000C385D"/>
    <w:rsid w:val="000C41B1"/>
    <w:rsid w:val="000C49D0"/>
    <w:rsid w:val="000C4DBA"/>
    <w:rsid w:val="000C4FD2"/>
    <w:rsid w:val="000C6B60"/>
    <w:rsid w:val="000D0756"/>
    <w:rsid w:val="000D087F"/>
    <w:rsid w:val="000D1AAC"/>
    <w:rsid w:val="000D2565"/>
    <w:rsid w:val="000D3CEE"/>
    <w:rsid w:val="000D4436"/>
    <w:rsid w:val="000D5571"/>
    <w:rsid w:val="000D6924"/>
    <w:rsid w:val="000D69E0"/>
    <w:rsid w:val="000D6A16"/>
    <w:rsid w:val="000E0607"/>
    <w:rsid w:val="000E0653"/>
    <w:rsid w:val="000E0BF3"/>
    <w:rsid w:val="000E0E5C"/>
    <w:rsid w:val="000E1648"/>
    <w:rsid w:val="000E1B28"/>
    <w:rsid w:val="000E1D12"/>
    <w:rsid w:val="000E21BB"/>
    <w:rsid w:val="000E3B5C"/>
    <w:rsid w:val="000E48B3"/>
    <w:rsid w:val="000E5476"/>
    <w:rsid w:val="000E5515"/>
    <w:rsid w:val="000E7B4B"/>
    <w:rsid w:val="000F230A"/>
    <w:rsid w:val="000F2D22"/>
    <w:rsid w:val="000F2F34"/>
    <w:rsid w:val="000F41FF"/>
    <w:rsid w:val="000F4676"/>
    <w:rsid w:val="00100B4C"/>
    <w:rsid w:val="001013D9"/>
    <w:rsid w:val="00101474"/>
    <w:rsid w:val="00101D9A"/>
    <w:rsid w:val="00101FB9"/>
    <w:rsid w:val="001025DF"/>
    <w:rsid w:val="001052BF"/>
    <w:rsid w:val="00105D84"/>
    <w:rsid w:val="00106350"/>
    <w:rsid w:val="00110F49"/>
    <w:rsid w:val="00113649"/>
    <w:rsid w:val="00113903"/>
    <w:rsid w:val="00114428"/>
    <w:rsid w:val="001147D8"/>
    <w:rsid w:val="0011524B"/>
    <w:rsid w:val="00115C92"/>
    <w:rsid w:val="00116481"/>
    <w:rsid w:val="00116A2F"/>
    <w:rsid w:val="00116E59"/>
    <w:rsid w:val="0012081B"/>
    <w:rsid w:val="00120B74"/>
    <w:rsid w:val="0012189E"/>
    <w:rsid w:val="0012357C"/>
    <w:rsid w:val="00123928"/>
    <w:rsid w:val="0012462F"/>
    <w:rsid w:val="001258FC"/>
    <w:rsid w:val="00126FEB"/>
    <w:rsid w:val="001271C6"/>
    <w:rsid w:val="001277A8"/>
    <w:rsid w:val="001277C1"/>
    <w:rsid w:val="00130E57"/>
    <w:rsid w:val="001311D0"/>
    <w:rsid w:val="00131BC0"/>
    <w:rsid w:val="00131DA1"/>
    <w:rsid w:val="0013273E"/>
    <w:rsid w:val="00132B03"/>
    <w:rsid w:val="001334C1"/>
    <w:rsid w:val="00133A81"/>
    <w:rsid w:val="001351DE"/>
    <w:rsid w:val="0013654D"/>
    <w:rsid w:val="00136628"/>
    <w:rsid w:val="00137821"/>
    <w:rsid w:val="00140361"/>
    <w:rsid w:val="0014076A"/>
    <w:rsid w:val="001408E7"/>
    <w:rsid w:val="0014255C"/>
    <w:rsid w:val="001425BF"/>
    <w:rsid w:val="00143A3A"/>
    <w:rsid w:val="001445EA"/>
    <w:rsid w:val="001464CD"/>
    <w:rsid w:val="001474AF"/>
    <w:rsid w:val="00147E99"/>
    <w:rsid w:val="0015046C"/>
    <w:rsid w:val="001508A5"/>
    <w:rsid w:val="0015278B"/>
    <w:rsid w:val="00155145"/>
    <w:rsid w:val="00155683"/>
    <w:rsid w:val="00155BD1"/>
    <w:rsid w:val="00155DA0"/>
    <w:rsid w:val="00157DE4"/>
    <w:rsid w:val="001604EA"/>
    <w:rsid w:val="00160A13"/>
    <w:rsid w:val="00160C43"/>
    <w:rsid w:val="0016181E"/>
    <w:rsid w:val="00161D08"/>
    <w:rsid w:val="00162307"/>
    <w:rsid w:val="00162DA6"/>
    <w:rsid w:val="00162F21"/>
    <w:rsid w:val="00162F2F"/>
    <w:rsid w:val="00163D06"/>
    <w:rsid w:val="00163F2E"/>
    <w:rsid w:val="001641E5"/>
    <w:rsid w:val="001650AA"/>
    <w:rsid w:val="001663FF"/>
    <w:rsid w:val="00171613"/>
    <w:rsid w:val="00173092"/>
    <w:rsid w:val="00174167"/>
    <w:rsid w:val="001745EC"/>
    <w:rsid w:val="00175412"/>
    <w:rsid w:val="00175664"/>
    <w:rsid w:val="001763ED"/>
    <w:rsid w:val="00177084"/>
    <w:rsid w:val="00177932"/>
    <w:rsid w:val="00180166"/>
    <w:rsid w:val="0018247D"/>
    <w:rsid w:val="00182674"/>
    <w:rsid w:val="001831E5"/>
    <w:rsid w:val="00183D07"/>
    <w:rsid w:val="001848A8"/>
    <w:rsid w:val="00185158"/>
    <w:rsid w:val="001852B3"/>
    <w:rsid w:val="00185A7F"/>
    <w:rsid w:val="00187117"/>
    <w:rsid w:val="00187520"/>
    <w:rsid w:val="00187B88"/>
    <w:rsid w:val="00191551"/>
    <w:rsid w:val="00192214"/>
    <w:rsid w:val="00192806"/>
    <w:rsid w:val="00193A38"/>
    <w:rsid w:val="00193AC3"/>
    <w:rsid w:val="001940A0"/>
    <w:rsid w:val="00194298"/>
    <w:rsid w:val="0019559C"/>
    <w:rsid w:val="00196F9C"/>
    <w:rsid w:val="00197395"/>
    <w:rsid w:val="001A02F8"/>
    <w:rsid w:val="001A0C29"/>
    <w:rsid w:val="001A0E2C"/>
    <w:rsid w:val="001A111A"/>
    <w:rsid w:val="001A14C3"/>
    <w:rsid w:val="001A1717"/>
    <w:rsid w:val="001A2330"/>
    <w:rsid w:val="001A26F5"/>
    <w:rsid w:val="001A3622"/>
    <w:rsid w:val="001A4375"/>
    <w:rsid w:val="001A5F57"/>
    <w:rsid w:val="001A7702"/>
    <w:rsid w:val="001B056A"/>
    <w:rsid w:val="001B1026"/>
    <w:rsid w:val="001B1195"/>
    <w:rsid w:val="001B1504"/>
    <w:rsid w:val="001B20A1"/>
    <w:rsid w:val="001B2B15"/>
    <w:rsid w:val="001B2D79"/>
    <w:rsid w:val="001B3821"/>
    <w:rsid w:val="001B404D"/>
    <w:rsid w:val="001B4831"/>
    <w:rsid w:val="001B4DE1"/>
    <w:rsid w:val="001B5D34"/>
    <w:rsid w:val="001C0F4A"/>
    <w:rsid w:val="001C1AEF"/>
    <w:rsid w:val="001C1B64"/>
    <w:rsid w:val="001C4166"/>
    <w:rsid w:val="001C5011"/>
    <w:rsid w:val="001C54E9"/>
    <w:rsid w:val="001C61BF"/>
    <w:rsid w:val="001C6383"/>
    <w:rsid w:val="001C6E1D"/>
    <w:rsid w:val="001D2D6D"/>
    <w:rsid w:val="001D33C2"/>
    <w:rsid w:val="001D4AD5"/>
    <w:rsid w:val="001D4D4C"/>
    <w:rsid w:val="001D51A3"/>
    <w:rsid w:val="001D56D9"/>
    <w:rsid w:val="001D5743"/>
    <w:rsid w:val="001D5902"/>
    <w:rsid w:val="001D7937"/>
    <w:rsid w:val="001E019D"/>
    <w:rsid w:val="001E044E"/>
    <w:rsid w:val="001E0AA0"/>
    <w:rsid w:val="001E0AD1"/>
    <w:rsid w:val="001E23AE"/>
    <w:rsid w:val="001E2B7F"/>
    <w:rsid w:val="001E326B"/>
    <w:rsid w:val="001E50AE"/>
    <w:rsid w:val="001E7ACC"/>
    <w:rsid w:val="001E7DDE"/>
    <w:rsid w:val="001E7E52"/>
    <w:rsid w:val="001E7F5E"/>
    <w:rsid w:val="001F09C5"/>
    <w:rsid w:val="001F0CE3"/>
    <w:rsid w:val="001F16DD"/>
    <w:rsid w:val="001F1B00"/>
    <w:rsid w:val="001F1BA5"/>
    <w:rsid w:val="001F1DD7"/>
    <w:rsid w:val="001F2357"/>
    <w:rsid w:val="001F2F5B"/>
    <w:rsid w:val="001F2F7A"/>
    <w:rsid w:val="001F3646"/>
    <w:rsid w:val="001F434C"/>
    <w:rsid w:val="001F4362"/>
    <w:rsid w:val="001F4421"/>
    <w:rsid w:val="001F51B6"/>
    <w:rsid w:val="001F5627"/>
    <w:rsid w:val="001F69BC"/>
    <w:rsid w:val="00201303"/>
    <w:rsid w:val="00201EE8"/>
    <w:rsid w:val="00204602"/>
    <w:rsid w:val="0020587E"/>
    <w:rsid w:val="002077B2"/>
    <w:rsid w:val="00210FD9"/>
    <w:rsid w:val="00210FDD"/>
    <w:rsid w:val="00212806"/>
    <w:rsid w:val="00214979"/>
    <w:rsid w:val="00215C70"/>
    <w:rsid w:val="002162DB"/>
    <w:rsid w:val="002164A9"/>
    <w:rsid w:val="00216B32"/>
    <w:rsid w:val="00217748"/>
    <w:rsid w:val="00217E1E"/>
    <w:rsid w:val="002200A0"/>
    <w:rsid w:val="00220369"/>
    <w:rsid w:val="002214C7"/>
    <w:rsid w:val="00221668"/>
    <w:rsid w:val="00221B26"/>
    <w:rsid w:val="0022212A"/>
    <w:rsid w:val="002223DE"/>
    <w:rsid w:val="0022365E"/>
    <w:rsid w:val="00225D58"/>
    <w:rsid w:val="0022650F"/>
    <w:rsid w:val="00227DDE"/>
    <w:rsid w:val="00227E5C"/>
    <w:rsid w:val="002302DD"/>
    <w:rsid w:val="00230C47"/>
    <w:rsid w:val="00230FB3"/>
    <w:rsid w:val="002321AF"/>
    <w:rsid w:val="00233895"/>
    <w:rsid w:val="00234A47"/>
    <w:rsid w:val="0023609D"/>
    <w:rsid w:val="002368AA"/>
    <w:rsid w:val="002376BA"/>
    <w:rsid w:val="00237C14"/>
    <w:rsid w:val="00237ED0"/>
    <w:rsid w:val="002400A9"/>
    <w:rsid w:val="00243169"/>
    <w:rsid w:val="002439EE"/>
    <w:rsid w:val="00244A18"/>
    <w:rsid w:val="00246271"/>
    <w:rsid w:val="002467A3"/>
    <w:rsid w:val="00246B2D"/>
    <w:rsid w:val="00247604"/>
    <w:rsid w:val="00247B9D"/>
    <w:rsid w:val="00251090"/>
    <w:rsid w:val="0025145B"/>
    <w:rsid w:val="0025183B"/>
    <w:rsid w:val="00251C37"/>
    <w:rsid w:val="00252B4B"/>
    <w:rsid w:val="00253630"/>
    <w:rsid w:val="00253757"/>
    <w:rsid w:val="00253FD6"/>
    <w:rsid w:val="00255B6C"/>
    <w:rsid w:val="00256315"/>
    <w:rsid w:val="00256A12"/>
    <w:rsid w:val="00256B5C"/>
    <w:rsid w:val="00256CC3"/>
    <w:rsid w:val="00257ACB"/>
    <w:rsid w:val="00257BA7"/>
    <w:rsid w:val="00261723"/>
    <w:rsid w:val="00262B62"/>
    <w:rsid w:val="00262FCA"/>
    <w:rsid w:val="00263D4C"/>
    <w:rsid w:val="00264B24"/>
    <w:rsid w:val="00265514"/>
    <w:rsid w:val="00265F19"/>
    <w:rsid w:val="002663B3"/>
    <w:rsid w:val="00266A87"/>
    <w:rsid w:val="00266F6C"/>
    <w:rsid w:val="00267258"/>
    <w:rsid w:val="002676D6"/>
    <w:rsid w:val="002704F1"/>
    <w:rsid w:val="00270794"/>
    <w:rsid w:val="00271E4A"/>
    <w:rsid w:val="002722E1"/>
    <w:rsid w:val="00274CE9"/>
    <w:rsid w:val="002773C7"/>
    <w:rsid w:val="002801DA"/>
    <w:rsid w:val="0028097E"/>
    <w:rsid w:val="002814E1"/>
    <w:rsid w:val="002823B6"/>
    <w:rsid w:val="00283CD6"/>
    <w:rsid w:val="002844E5"/>
    <w:rsid w:val="00284902"/>
    <w:rsid w:val="00284ED8"/>
    <w:rsid w:val="00287892"/>
    <w:rsid w:val="00290F8D"/>
    <w:rsid w:val="00291D85"/>
    <w:rsid w:val="00292004"/>
    <w:rsid w:val="0029236B"/>
    <w:rsid w:val="002931D8"/>
    <w:rsid w:val="00293AA8"/>
    <w:rsid w:val="00294D39"/>
    <w:rsid w:val="00294DB9"/>
    <w:rsid w:val="0029508E"/>
    <w:rsid w:val="002950E9"/>
    <w:rsid w:val="002952B7"/>
    <w:rsid w:val="002966DB"/>
    <w:rsid w:val="002972BC"/>
    <w:rsid w:val="0029731C"/>
    <w:rsid w:val="002A0B27"/>
    <w:rsid w:val="002A16C1"/>
    <w:rsid w:val="002A2568"/>
    <w:rsid w:val="002A351D"/>
    <w:rsid w:val="002A37E4"/>
    <w:rsid w:val="002A3D78"/>
    <w:rsid w:val="002A400F"/>
    <w:rsid w:val="002A4157"/>
    <w:rsid w:val="002A4704"/>
    <w:rsid w:val="002A546C"/>
    <w:rsid w:val="002A61CE"/>
    <w:rsid w:val="002B045D"/>
    <w:rsid w:val="002B050B"/>
    <w:rsid w:val="002B155E"/>
    <w:rsid w:val="002B1B6D"/>
    <w:rsid w:val="002B1EC7"/>
    <w:rsid w:val="002B237F"/>
    <w:rsid w:val="002B2982"/>
    <w:rsid w:val="002B3229"/>
    <w:rsid w:val="002B3425"/>
    <w:rsid w:val="002B4B3F"/>
    <w:rsid w:val="002B4D04"/>
    <w:rsid w:val="002C0709"/>
    <w:rsid w:val="002C10A4"/>
    <w:rsid w:val="002C11E1"/>
    <w:rsid w:val="002C1D9F"/>
    <w:rsid w:val="002C2130"/>
    <w:rsid w:val="002C34DF"/>
    <w:rsid w:val="002C361F"/>
    <w:rsid w:val="002C5488"/>
    <w:rsid w:val="002C5BC9"/>
    <w:rsid w:val="002C5F86"/>
    <w:rsid w:val="002C6DC7"/>
    <w:rsid w:val="002C731A"/>
    <w:rsid w:val="002C752F"/>
    <w:rsid w:val="002D1BCF"/>
    <w:rsid w:val="002D4679"/>
    <w:rsid w:val="002D47FC"/>
    <w:rsid w:val="002D67E3"/>
    <w:rsid w:val="002E109A"/>
    <w:rsid w:val="002E3D1E"/>
    <w:rsid w:val="002E521A"/>
    <w:rsid w:val="002E623C"/>
    <w:rsid w:val="002E6CEF"/>
    <w:rsid w:val="002E6EB8"/>
    <w:rsid w:val="002E72F8"/>
    <w:rsid w:val="002F0658"/>
    <w:rsid w:val="002F133A"/>
    <w:rsid w:val="002F2779"/>
    <w:rsid w:val="002F3D8D"/>
    <w:rsid w:val="002F419D"/>
    <w:rsid w:val="002F4B79"/>
    <w:rsid w:val="002F4D9B"/>
    <w:rsid w:val="002F570F"/>
    <w:rsid w:val="002F589B"/>
    <w:rsid w:val="002F67D1"/>
    <w:rsid w:val="002F6C13"/>
    <w:rsid w:val="002F740D"/>
    <w:rsid w:val="00303A5F"/>
    <w:rsid w:val="00304321"/>
    <w:rsid w:val="003064CD"/>
    <w:rsid w:val="00306C0B"/>
    <w:rsid w:val="003103D6"/>
    <w:rsid w:val="0031048E"/>
    <w:rsid w:val="0031240A"/>
    <w:rsid w:val="00313EEF"/>
    <w:rsid w:val="00314B88"/>
    <w:rsid w:val="00315A25"/>
    <w:rsid w:val="00315F01"/>
    <w:rsid w:val="00316C81"/>
    <w:rsid w:val="00322447"/>
    <w:rsid w:val="003248EA"/>
    <w:rsid w:val="00324A44"/>
    <w:rsid w:val="00324EA1"/>
    <w:rsid w:val="00325873"/>
    <w:rsid w:val="003261C6"/>
    <w:rsid w:val="003264A9"/>
    <w:rsid w:val="00326669"/>
    <w:rsid w:val="00330C9A"/>
    <w:rsid w:val="00330E32"/>
    <w:rsid w:val="003311AE"/>
    <w:rsid w:val="003312ED"/>
    <w:rsid w:val="00332113"/>
    <w:rsid w:val="0033331A"/>
    <w:rsid w:val="00333718"/>
    <w:rsid w:val="00335DD3"/>
    <w:rsid w:val="00335EE6"/>
    <w:rsid w:val="0033757E"/>
    <w:rsid w:val="0034023B"/>
    <w:rsid w:val="00340C87"/>
    <w:rsid w:val="00340D50"/>
    <w:rsid w:val="00342809"/>
    <w:rsid w:val="00342DD7"/>
    <w:rsid w:val="00343E9C"/>
    <w:rsid w:val="00345277"/>
    <w:rsid w:val="0034586F"/>
    <w:rsid w:val="00345C46"/>
    <w:rsid w:val="00345D09"/>
    <w:rsid w:val="00345EC6"/>
    <w:rsid w:val="003477DF"/>
    <w:rsid w:val="0034794B"/>
    <w:rsid w:val="00350A3C"/>
    <w:rsid w:val="00351AD0"/>
    <w:rsid w:val="003526B9"/>
    <w:rsid w:val="00352886"/>
    <w:rsid w:val="00353C14"/>
    <w:rsid w:val="00355BAD"/>
    <w:rsid w:val="003564B7"/>
    <w:rsid w:val="00361352"/>
    <w:rsid w:val="00362518"/>
    <w:rsid w:val="00362DB4"/>
    <w:rsid w:val="00363481"/>
    <w:rsid w:val="00364460"/>
    <w:rsid w:val="00364492"/>
    <w:rsid w:val="00366590"/>
    <w:rsid w:val="003665A5"/>
    <w:rsid w:val="003666EE"/>
    <w:rsid w:val="00367D3E"/>
    <w:rsid w:val="00372350"/>
    <w:rsid w:val="00373EA0"/>
    <w:rsid w:val="00375650"/>
    <w:rsid w:val="00376859"/>
    <w:rsid w:val="00377576"/>
    <w:rsid w:val="0037797B"/>
    <w:rsid w:val="003779BE"/>
    <w:rsid w:val="003813C6"/>
    <w:rsid w:val="00382704"/>
    <w:rsid w:val="00382CE9"/>
    <w:rsid w:val="003843A9"/>
    <w:rsid w:val="003845D4"/>
    <w:rsid w:val="00384E10"/>
    <w:rsid w:val="00385129"/>
    <w:rsid w:val="00385A8A"/>
    <w:rsid w:val="00385CD2"/>
    <w:rsid w:val="00386B54"/>
    <w:rsid w:val="00390D77"/>
    <w:rsid w:val="003913C7"/>
    <w:rsid w:val="00392848"/>
    <w:rsid w:val="0039447D"/>
    <w:rsid w:val="003947BD"/>
    <w:rsid w:val="0039550D"/>
    <w:rsid w:val="00395BA2"/>
    <w:rsid w:val="00397D95"/>
    <w:rsid w:val="003A1D06"/>
    <w:rsid w:val="003A1DA4"/>
    <w:rsid w:val="003A41C5"/>
    <w:rsid w:val="003A6ADE"/>
    <w:rsid w:val="003A6F88"/>
    <w:rsid w:val="003A731B"/>
    <w:rsid w:val="003A7D9D"/>
    <w:rsid w:val="003B1EFC"/>
    <w:rsid w:val="003B1F6B"/>
    <w:rsid w:val="003B211E"/>
    <w:rsid w:val="003B243D"/>
    <w:rsid w:val="003B2D2E"/>
    <w:rsid w:val="003B3C9F"/>
    <w:rsid w:val="003B5EE3"/>
    <w:rsid w:val="003B7645"/>
    <w:rsid w:val="003B7F75"/>
    <w:rsid w:val="003C00D6"/>
    <w:rsid w:val="003C0A35"/>
    <w:rsid w:val="003C1814"/>
    <w:rsid w:val="003C1B26"/>
    <w:rsid w:val="003C257F"/>
    <w:rsid w:val="003C4520"/>
    <w:rsid w:val="003C56F1"/>
    <w:rsid w:val="003C6124"/>
    <w:rsid w:val="003D0A0B"/>
    <w:rsid w:val="003D1B07"/>
    <w:rsid w:val="003D3BDA"/>
    <w:rsid w:val="003D40F6"/>
    <w:rsid w:val="003D41FF"/>
    <w:rsid w:val="003D46AD"/>
    <w:rsid w:val="003D4FC9"/>
    <w:rsid w:val="003D5379"/>
    <w:rsid w:val="003D580B"/>
    <w:rsid w:val="003D5813"/>
    <w:rsid w:val="003D703F"/>
    <w:rsid w:val="003E06ED"/>
    <w:rsid w:val="003E0D3C"/>
    <w:rsid w:val="003E287E"/>
    <w:rsid w:val="003E2A83"/>
    <w:rsid w:val="003E43C1"/>
    <w:rsid w:val="003E44A4"/>
    <w:rsid w:val="003E71B8"/>
    <w:rsid w:val="003F00DF"/>
    <w:rsid w:val="003F0147"/>
    <w:rsid w:val="003F0892"/>
    <w:rsid w:val="003F17D6"/>
    <w:rsid w:val="003F221E"/>
    <w:rsid w:val="003F2512"/>
    <w:rsid w:val="003F3A16"/>
    <w:rsid w:val="003F3F98"/>
    <w:rsid w:val="003F65F0"/>
    <w:rsid w:val="003F6AF4"/>
    <w:rsid w:val="003F74C7"/>
    <w:rsid w:val="003F759D"/>
    <w:rsid w:val="0040029E"/>
    <w:rsid w:val="004003EE"/>
    <w:rsid w:val="00400E3E"/>
    <w:rsid w:val="004018D9"/>
    <w:rsid w:val="00402193"/>
    <w:rsid w:val="00403DE8"/>
    <w:rsid w:val="0040438A"/>
    <w:rsid w:val="00405C36"/>
    <w:rsid w:val="0040663B"/>
    <w:rsid w:val="0041016B"/>
    <w:rsid w:val="00412B76"/>
    <w:rsid w:val="00412DB1"/>
    <w:rsid w:val="004131EB"/>
    <w:rsid w:val="00417658"/>
    <w:rsid w:val="00420CA6"/>
    <w:rsid w:val="0042106C"/>
    <w:rsid w:val="00424A8A"/>
    <w:rsid w:val="00424F1C"/>
    <w:rsid w:val="0042665D"/>
    <w:rsid w:val="00426B3A"/>
    <w:rsid w:val="00430484"/>
    <w:rsid w:val="00431B3F"/>
    <w:rsid w:val="00431CF6"/>
    <w:rsid w:val="00433E4A"/>
    <w:rsid w:val="004344F8"/>
    <w:rsid w:val="004353D9"/>
    <w:rsid w:val="004376EF"/>
    <w:rsid w:val="004415E6"/>
    <w:rsid w:val="00441A33"/>
    <w:rsid w:val="0044260A"/>
    <w:rsid w:val="004437B5"/>
    <w:rsid w:val="00443DD3"/>
    <w:rsid w:val="00443E2A"/>
    <w:rsid w:val="004444D1"/>
    <w:rsid w:val="00445F42"/>
    <w:rsid w:val="00445F73"/>
    <w:rsid w:val="00446B33"/>
    <w:rsid w:val="00450CBA"/>
    <w:rsid w:val="00452C39"/>
    <w:rsid w:val="0045359B"/>
    <w:rsid w:val="00454544"/>
    <w:rsid w:val="00454DFB"/>
    <w:rsid w:val="00455189"/>
    <w:rsid w:val="00455FA7"/>
    <w:rsid w:val="00456665"/>
    <w:rsid w:val="00456AF8"/>
    <w:rsid w:val="0045728A"/>
    <w:rsid w:val="00457369"/>
    <w:rsid w:val="00457EB2"/>
    <w:rsid w:val="00462AE5"/>
    <w:rsid w:val="00462B97"/>
    <w:rsid w:val="00463A1A"/>
    <w:rsid w:val="00464083"/>
    <w:rsid w:val="00464F9B"/>
    <w:rsid w:val="00466A4F"/>
    <w:rsid w:val="00466BCF"/>
    <w:rsid w:val="0046701D"/>
    <w:rsid w:val="004677DF"/>
    <w:rsid w:val="00467AA2"/>
    <w:rsid w:val="004703D5"/>
    <w:rsid w:val="004718AC"/>
    <w:rsid w:val="00471911"/>
    <w:rsid w:val="00472030"/>
    <w:rsid w:val="004727FB"/>
    <w:rsid w:val="00472F1C"/>
    <w:rsid w:val="004731BC"/>
    <w:rsid w:val="0047394C"/>
    <w:rsid w:val="00473DE6"/>
    <w:rsid w:val="00474588"/>
    <w:rsid w:val="004746D8"/>
    <w:rsid w:val="00474C7F"/>
    <w:rsid w:val="0047604A"/>
    <w:rsid w:val="00476764"/>
    <w:rsid w:val="00477751"/>
    <w:rsid w:val="0048071B"/>
    <w:rsid w:val="00482334"/>
    <w:rsid w:val="00482F58"/>
    <w:rsid w:val="00483BEA"/>
    <w:rsid w:val="004856DE"/>
    <w:rsid w:val="00487841"/>
    <w:rsid w:val="0049039D"/>
    <w:rsid w:val="004905D7"/>
    <w:rsid w:val="00491416"/>
    <w:rsid w:val="00492062"/>
    <w:rsid w:val="0049247C"/>
    <w:rsid w:val="0049300D"/>
    <w:rsid w:val="004930C4"/>
    <w:rsid w:val="00493261"/>
    <w:rsid w:val="00493498"/>
    <w:rsid w:val="00493AF8"/>
    <w:rsid w:val="00493B97"/>
    <w:rsid w:val="004940EF"/>
    <w:rsid w:val="00495542"/>
    <w:rsid w:val="004A07C3"/>
    <w:rsid w:val="004A1190"/>
    <w:rsid w:val="004A2599"/>
    <w:rsid w:val="004A2F7D"/>
    <w:rsid w:val="004A38BD"/>
    <w:rsid w:val="004A4316"/>
    <w:rsid w:val="004A4340"/>
    <w:rsid w:val="004A5155"/>
    <w:rsid w:val="004A5FB3"/>
    <w:rsid w:val="004A6D8C"/>
    <w:rsid w:val="004A6DB6"/>
    <w:rsid w:val="004B2D51"/>
    <w:rsid w:val="004B2F1E"/>
    <w:rsid w:val="004B4A48"/>
    <w:rsid w:val="004B6E40"/>
    <w:rsid w:val="004B7033"/>
    <w:rsid w:val="004B7C5F"/>
    <w:rsid w:val="004C0123"/>
    <w:rsid w:val="004C1074"/>
    <w:rsid w:val="004C14A1"/>
    <w:rsid w:val="004C2634"/>
    <w:rsid w:val="004C271D"/>
    <w:rsid w:val="004C2B74"/>
    <w:rsid w:val="004C2D16"/>
    <w:rsid w:val="004C32FD"/>
    <w:rsid w:val="004C3568"/>
    <w:rsid w:val="004C3BE7"/>
    <w:rsid w:val="004C59F9"/>
    <w:rsid w:val="004C75BA"/>
    <w:rsid w:val="004D08FA"/>
    <w:rsid w:val="004D0DDE"/>
    <w:rsid w:val="004D0F02"/>
    <w:rsid w:val="004D14FE"/>
    <w:rsid w:val="004D3031"/>
    <w:rsid w:val="004D3CC7"/>
    <w:rsid w:val="004D4038"/>
    <w:rsid w:val="004D46DA"/>
    <w:rsid w:val="004D4B96"/>
    <w:rsid w:val="004D53AC"/>
    <w:rsid w:val="004D54FC"/>
    <w:rsid w:val="004D5930"/>
    <w:rsid w:val="004D6F23"/>
    <w:rsid w:val="004D7DD8"/>
    <w:rsid w:val="004D7DE9"/>
    <w:rsid w:val="004E1918"/>
    <w:rsid w:val="004E301C"/>
    <w:rsid w:val="004E40A1"/>
    <w:rsid w:val="004E4982"/>
    <w:rsid w:val="004E4F97"/>
    <w:rsid w:val="004E5B61"/>
    <w:rsid w:val="004E6074"/>
    <w:rsid w:val="004E6BF5"/>
    <w:rsid w:val="004F12F2"/>
    <w:rsid w:val="004F1BF9"/>
    <w:rsid w:val="004F1D06"/>
    <w:rsid w:val="004F2FCB"/>
    <w:rsid w:val="004F33AE"/>
    <w:rsid w:val="004F38A9"/>
    <w:rsid w:val="004F4039"/>
    <w:rsid w:val="004F564B"/>
    <w:rsid w:val="004F59B9"/>
    <w:rsid w:val="004F6254"/>
    <w:rsid w:val="004F6602"/>
    <w:rsid w:val="004F6609"/>
    <w:rsid w:val="004F72A3"/>
    <w:rsid w:val="0050014E"/>
    <w:rsid w:val="00501B16"/>
    <w:rsid w:val="00502B44"/>
    <w:rsid w:val="0050357D"/>
    <w:rsid w:val="00503A7A"/>
    <w:rsid w:val="00505C69"/>
    <w:rsid w:val="00506028"/>
    <w:rsid w:val="005066B0"/>
    <w:rsid w:val="00506C60"/>
    <w:rsid w:val="00507ECC"/>
    <w:rsid w:val="00510BA2"/>
    <w:rsid w:val="0051135A"/>
    <w:rsid w:val="00511371"/>
    <w:rsid w:val="005130A0"/>
    <w:rsid w:val="00516620"/>
    <w:rsid w:val="0051699A"/>
    <w:rsid w:val="00517FE3"/>
    <w:rsid w:val="00521AB3"/>
    <w:rsid w:val="005239C0"/>
    <w:rsid w:val="00523FC1"/>
    <w:rsid w:val="00524485"/>
    <w:rsid w:val="005244E2"/>
    <w:rsid w:val="0052642C"/>
    <w:rsid w:val="00527163"/>
    <w:rsid w:val="00527675"/>
    <w:rsid w:val="00527D00"/>
    <w:rsid w:val="005315C8"/>
    <w:rsid w:val="00531D97"/>
    <w:rsid w:val="0053363F"/>
    <w:rsid w:val="0053631C"/>
    <w:rsid w:val="00536F30"/>
    <w:rsid w:val="00537845"/>
    <w:rsid w:val="00540B4B"/>
    <w:rsid w:val="00540D14"/>
    <w:rsid w:val="005415C1"/>
    <w:rsid w:val="00541E58"/>
    <w:rsid w:val="00542671"/>
    <w:rsid w:val="00542B0F"/>
    <w:rsid w:val="00545829"/>
    <w:rsid w:val="00545845"/>
    <w:rsid w:val="0054669D"/>
    <w:rsid w:val="005466E8"/>
    <w:rsid w:val="005473D4"/>
    <w:rsid w:val="00547DD8"/>
    <w:rsid w:val="00550AF2"/>
    <w:rsid w:val="005522BD"/>
    <w:rsid w:val="0055296D"/>
    <w:rsid w:val="00553485"/>
    <w:rsid w:val="00553989"/>
    <w:rsid w:val="0055491E"/>
    <w:rsid w:val="00555AB5"/>
    <w:rsid w:val="005576D2"/>
    <w:rsid w:val="005579A3"/>
    <w:rsid w:val="00557DB4"/>
    <w:rsid w:val="005619FA"/>
    <w:rsid w:val="0056236A"/>
    <w:rsid w:val="00562DE0"/>
    <w:rsid w:val="005632DF"/>
    <w:rsid w:val="005642B7"/>
    <w:rsid w:val="00565676"/>
    <w:rsid w:val="005659CC"/>
    <w:rsid w:val="00566B96"/>
    <w:rsid w:val="00573DCB"/>
    <w:rsid w:val="00574277"/>
    <w:rsid w:val="005742AA"/>
    <w:rsid w:val="00574462"/>
    <w:rsid w:val="00574BF4"/>
    <w:rsid w:val="005761F8"/>
    <w:rsid w:val="005765CE"/>
    <w:rsid w:val="005769CA"/>
    <w:rsid w:val="00580225"/>
    <w:rsid w:val="00585799"/>
    <w:rsid w:val="005867A2"/>
    <w:rsid w:val="005871FF"/>
    <w:rsid w:val="0059056B"/>
    <w:rsid w:val="005906B2"/>
    <w:rsid w:val="00595351"/>
    <w:rsid w:val="00595442"/>
    <w:rsid w:val="00596A20"/>
    <w:rsid w:val="00596A52"/>
    <w:rsid w:val="00596A96"/>
    <w:rsid w:val="00596BB2"/>
    <w:rsid w:val="0059737E"/>
    <w:rsid w:val="005976B4"/>
    <w:rsid w:val="00597ADE"/>
    <w:rsid w:val="005A0333"/>
    <w:rsid w:val="005A17EB"/>
    <w:rsid w:val="005A18D2"/>
    <w:rsid w:val="005A447B"/>
    <w:rsid w:val="005A4BB6"/>
    <w:rsid w:val="005A4E2A"/>
    <w:rsid w:val="005A5BC2"/>
    <w:rsid w:val="005A69F8"/>
    <w:rsid w:val="005B0616"/>
    <w:rsid w:val="005B21CF"/>
    <w:rsid w:val="005B2AF6"/>
    <w:rsid w:val="005B3891"/>
    <w:rsid w:val="005B3B56"/>
    <w:rsid w:val="005B5161"/>
    <w:rsid w:val="005B5669"/>
    <w:rsid w:val="005B596B"/>
    <w:rsid w:val="005B6500"/>
    <w:rsid w:val="005B7413"/>
    <w:rsid w:val="005C1617"/>
    <w:rsid w:val="005C329A"/>
    <w:rsid w:val="005C3490"/>
    <w:rsid w:val="005C4376"/>
    <w:rsid w:val="005C524A"/>
    <w:rsid w:val="005C5917"/>
    <w:rsid w:val="005C7E8C"/>
    <w:rsid w:val="005D0DD1"/>
    <w:rsid w:val="005D0F06"/>
    <w:rsid w:val="005D1868"/>
    <w:rsid w:val="005D1DB1"/>
    <w:rsid w:val="005D4695"/>
    <w:rsid w:val="005D4F9E"/>
    <w:rsid w:val="005D5535"/>
    <w:rsid w:val="005D5D04"/>
    <w:rsid w:val="005D609A"/>
    <w:rsid w:val="005D60FE"/>
    <w:rsid w:val="005D6193"/>
    <w:rsid w:val="005D6E4B"/>
    <w:rsid w:val="005D705A"/>
    <w:rsid w:val="005D7FB2"/>
    <w:rsid w:val="005E09F4"/>
    <w:rsid w:val="005E0F84"/>
    <w:rsid w:val="005E1F0E"/>
    <w:rsid w:val="005E28D1"/>
    <w:rsid w:val="005E3262"/>
    <w:rsid w:val="005E42BF"/>
    <w:rsid w:val="005E46DF"/>
    <w:rsid w:val="005E4FA4"/>
    <w:rsid w:val="005E540B"/>
    <w:rsid w:val="005E5649"/>
    <w:rsid w:val="005E6421"/>
    <w:rsid w:val="005E7122"/>
    <w:rsid w:val="005F02AF"/>
    <w:rsid w:val="005F261C"/>
    <w:rsid w:val="005F2A32"/>
    <w:rsid w:val="005F2DF6"/>
    <w:rsid w:val="005F3435"/>
    <w:rsid w:val="005F3C15"/>
    <w:rsid w:val="005F40D5"/>
    <w:rsid w:val="005F5099"/>
    <w:rsid w:val="005F5AA8"/>
    <w:rsid w:val="005F62E2"/>
    <w:rsid w:val="005F7AC3"/>
    <w:rsid w:val="005F7B57"/>
    <w:rsid w:val="00600FB7"/>
    <w:rsid w:val="00601840"/>
    <w:rsid w:val="00603E69"/>
    <w:rsid w:val="0060599F"/>
    <w:rsid w:val="00605A38"/>
    <w:rsid w:val="0060624C"/>
    <w:rsid w:val="006070F8"/>
    <w:rsid w:val="006126A0"/>
    <w:rsid w:val="00612BD3"/>
    <w:rsid w:val="006133C9"/>
    <w:rsid w:val="006139F0"/>
    <w:rsid w:val="0062131E"/>
    <w:rsid w:val="00622A55"/>
    <w:rsid w:val="006231EB"/>
    <w:rsid w:val="00624AAD"/>
    <w:rsid w:val="00624E87"/>
    <w:rsid w:val="006258E0"/>
    <w:rsid w:val="00625D66"/>
    <w:rsid w:val="00626938"/>
    <w:rsid w:val="00626FD3"/>
    <w:rsid w:val="00626FD9"/>
    <w:rsid w:val="006308AA"/>
    <w:rsid w:val="00631475"/>
    <w:rsid w:val="00631CD8"/>
    <w:rsid w:val="00633107"/>
    <w:rsid w:val="00633CE6"/>
    <w:rsid w:val="00636B14"/>
    <w:rsid w:val="0064044F"/>
    <w:rsid w:val="006409E6"/>
    <w:rsid w:val="00640A3C"/>
    <w:rsid w:val="00640B02"/>
    <w:rsid w:val="0064110B"/>
    <w:rsid w:val="0064115E"/>
    <w:rsid w:val="00641560"/>
    <w:rsid w:val="006436AD"/>
    <w:rsid w:val="00644E6C"/>
    <w:rsid w:val="00646380"/>
    <w:rsid w:val="00646B0D"/>
    <w:rsid w:val="00650A89"/>
    <w:rsid w:val="0065238F"/>
    <w:rsid w:val="00653B2E"/>
    <w:rsid w:val="00654325"/>
    <w:rsid w:val="0065457E"/>
    <w:rsid w:val="006550C3"/>
    <w:rsid w:val="0065583F"/>
    <w:rsid w:val="00656323"/>
    <w:rsid w:val="0065644D"/>
    <w:rsid w:val="00656CA8"/>
    <w:rsid w:val="00656DAA"/>
    <w:rsid w:val="00661821"/>
    <w:rsid w:val="00661A32"/>
    <w:rsid w:val="006624D0"/>
    <w:rsid w:val="00662B2D"/>
    <w:rsid w:val="0066468A"/>
    <w:rsid w:val="0066530D"/>
    <w:rsid w:val="00665400"/>
    <w:rsid w:val="0066553A"/>
    <w:rsid w:val="00665D09"/>
    <w:rsid w:val="006665B4"/>
    <w:rsid w:val="00666FDE"/>
    <w:rsid w:val="00667582"/>
    <w:rsid w:val="0066795B"/>
    <w:rsid w:val="006702D9"/>
    <w:rsid w:val="00670488"/>
    <w:rsid w:val="006706BD"/>
    <w:rsid w:val="00670BB5"/>
    <w:rsid w:val="006710CA"/>
    <w:rsid w:val="00673794"/>
    <w:rsid w:val="00674C99"/>
    <w:rsid w:val="00674FF2"/>
    <w:rsid w:val="006758C2"/>
    <w:rsid w:val="006762CF"/>
    <w:rsid w:val="00676450"/>
    <w:rsid w:val="006769A4"/>
    <w:rsid w:val="006771FE"/>
    <w:rsid w:val="00677FA7"/>
    <w:rsid w:val="00680075"/>
    <w:rsid w:val="00680CB5"/>
    <w:rsid w:val="00680DA1"/>
    <w:rsid w:val="006821B2"/>
    <w:rsid w:val="00682393"/>
    <w:rsid w:val="00682420"/>
    <w:rsid w:val="00682D70"/>
    <w:rsid w:val="006839F5"/>
    <w:rsid w:val="006843CC"/>
    <w:rsid w:val="00684871"/>
    <w:rsid w:val="00685694"/>
    <w:rsid w:val="00685870"/>
    <w:rsid w:val="00685951"/>
    <w:rsid w:val="00686505"/>
    <w:rsid w:val="00690205"/>
    <w:rsid w:val="006911B3"/>
    <w:rsid w:val="00691E12"/>
    <w:rsid w:val="00692642"/>
    <w:rsid w:val="006926FC"/>
    <w:rsid w:val="006927D1"/>
    <w:rsid w:val="006936D0"/>
    <w:rsid w:val="00695130"/>
    <w:rsid w:val="0069561A"/>
    <w:rsid w:val="006959B4"/>
    <w:rsid w:val="00695AA7"/>
    <w:rsid w:val="00695D2C"/>
    <w:rsid w:val="00696830"/>
    <w:rsid w:val="006A1FA3"/>
    <w:rsid w:val="006A4CEE"/>
    <w:rsid w:val="006A698F"/>
    <w:rsid w:val="006A750D"/>
    <w:rsid w:val="006B152B"/>
    <w:rsid w:val="006B16E3"/>
    <w:rsid w:val="006B2CBF"/>
    <w:rsid w:val="006B365E"/>
    <w:rsid w:val="006B3EA9"/>
    <w:rsid w:val="006B455F"/>
    <w:rsid w:val="006B4EFD"/>
    <w:rsid w:val="006B5821"/>
    <w:rsid w:val="006B5EC3"/>
    <w:rsid w:val="006B5EF2"/>
    <w:rsid w:val="006B5F15"/>
    <w:rsid w:val="006B682E"/>
    <w:rsid w:val="006B79B5"/>
    <w:rsid w:val="006C4291"/>
    <w:rsid w:val="006C4AB6"/>
    <w:rsid w:val="006C78C3"/>
    <w:rsid w:val="006D0EA4"/>
    <w:rsid w:val="006D2222"/>
    <w:rsid w:val="006D28F1"/>
    <w:rsid w:val="006D4056"/>
    <w:rsid w:val="006D544D"/>
    <w:rsid w:val="006D60D5"/>
    <w:rsid w:val="006D6158"/>
    <w:rsid w:val="006D67E7"/>
    <w:rsid w:val="006E14AD"/>
    <w:rsid w:val="006E25E3"/>
    <w:rsid w:val="006E2B35"/>
    <w:rsid w:val="006E32DC"/>
    <w:rsid w:val="006E3AE4"/>
    <w:rsid w:val="006E6F58"/>
    <w:rsid w:val="006E78FB"/>
    <w:rsid w:val="006F05CA"/>
    <w:rsid w:val="006F0A17"/>
    <w:rsid w:val="006F0C93"/>
    <w:rsid w:val="006F109E"/>
    <w:rsid w:val="006F17A0"/>
    <w:rsid w:val="006F46E2"/>
    <w:rsid w:val="006F63D9"/>
    <w:rsid w:val="006F728B"/>
    <w:rsid w:val="006F7C1A"/>
    <w:rsid w:val="007002D8"/>
    <w:rsid w:val="00702A39"/>
    <w:rsid w:val="00704537"/>
    <w:rsid w:val="00705307"/>
    <w:rsid w:val="00706176"/>
    <w:rsid w:val="00707361"/>
    <w:rsid w:val="0071102A"/>
    <w:rsid w:val="0071260D"/>
    <w:rsid w:val="00712A3E"/>
    <w:rsid w:val="007132FE"/>
    <w:rsid w:val="00715C22"/>
    <w:rsid w:val="00716F25"/>
    <w:rsid w:val="007203CD"/>
    <w:rsid w:val="00721371"/>
    <w:rsid w:val="00721702"/>
    <w:rsid w:val="007219D0"/>
    <w:rsid w:val="00721E9B"/>
    <w:rsid w:val="007223AB"/>
    <w:rsid w:val="0072249C"/>
    <w:rsid w:val="00722A14"/>
    <w:rsid w:val="00722C5F"/>
    <w:rsid w:val="00722C8B"/>
    <w:rsid w:val="00724097"/>
    <w:rsid w:val="007242C8"/>
    <w:rsid w:val="00724532"/>
    <w:rsid w:val="007248F1"/>
    <w:rsid w:val="0072507C"/>
    <w:rsid w:val="00730553"/>
    <w:rsid w:val="00730ADD"/>
    <w:rsid w:val="00730B89"/>
    <w:rsid w:val="0073122F"/>
    <w:rsid w:val="00731BA4"/>
    <w:rsid w:val="00731E9E"/>
    <w:rsid w:val="00731EB9"/>
    <w:rsid w:val="007329AC"/>
    <w:rsid w:val="00734A2A"/>
    <w:rsid w:val="00735AE9"/>
    <w:rsid w:val="007364D7"/>
    <w:rsid w:val="00736C0D"/>
    <w:rsid w:val="00740CF3"/>
    <w:rsid w:val="00742BEC"/>
    <w:rsid w:val="00742FB5"/>
    <w:rsid w:val="00743783"/>
    <w:rsid w:val="00744D72"/>
    <w:rsid w:val="007457DA"/>
    <w:rsid w:val="007460C3"/>
    <w:rsid w:val="00747082"/>
    <w:rsid w:val="0074727B"/>
    <w:rsid w:val="0074785B"/>
    <w:rsid w:val="00750DA9"/>
    <w:rsid w:val="00751316"/>
    <w:rsid w:val="00751454"/>
    <w:rsid w:val="00751BA5"/>
    <w:rsid w:val="00752309"/>
    <w:rsid w:val="007533C9"/>
    <w:rsid w:val="007539EF"/>
    <w:rsid w:val="00754037"/>
    <w:rsid w:val="00754889"/>
    <w:rsid w:val="007559BB"/>
    <w:rsid w:val="007575A1"/>
    <w:rsid w:val="00757A18"/>
    <w:rsid w:val="0076018F"/>
    <w:rsid w:val="007603BB"/>
    <w:rsid w:val="0076092A"/>
    <w:rsid w:val="00760FDA"/>
    <w:rsid w:val="00762883"/>
    <w:rsid w:val="0076323F"/>
    <w:rsid w:val="00765D53"/>
    <w:rsid w:val="00766B28"/>
    <w:rsid w:val="00767BE4"/>
    <w:rsid w:val="00770A55"/>
    <w:rsid w:val="00771A5F"/>
    <w:rsid w:val="00771BE8"/>
    <w:rsid w:val="00774C39"/>
    <w:rsid w:val="00776868"/>
    <w:rsid w:val="0077778F"/>
    <w:rsid w:val="00781065"/>
    <w:rsid w:val="0078144A"/>
    <w:rsid w:val="0078276B"/>
    <w:rsid w:val="00782B71"/>
    <w:rsid w:val="00783448"/>
    <w:rsid w:val="00783836"/>
    <w:rsid w:val="007839A4"/>
    <w:rsid w:val="00784C4B"/>
    <w:rsid w:val="007858F4"/>
    <w:rsid w:val="007859AF"/>
    <w:rsid w:val="00786EC5"/>
    <w:rsid w:val="00787661"/>
    <w:rsid w:val="007878AF"/>
    <w:rsid w:val="00787A59"/>
    <w:rsid w:val="00790A88"/>
    <w:rsid w:val="007912AB"/>
    <w:rsid w:val="007927E6"/>
    <w:rsid w:val="007947A2"/>
    <w:rsid w:val="00795045"/>
    <w:rsid w:val="00795D17"/>
    <w:rsid w:val="00795E8F"/>
    <w:rsid w:val="00797D3E"/>
    <w:rsid w:val="007A0930"/>
    <w:rsid w:val="007A0E0F"/>
    <w:rsid w:val="007A0EBE"/>
    <w:rsid w:val="007A17F3"/>
    <w:rsid w:val="007A1F28"/>
    <w:rsid w:val="007A26AB"/>
    <w:rsid w:val="007A3A93"/>
    <w:rsid w:val="007A3C1A"/>
    <w:rsid w:val="007A403D"/>
    <w:rsid w:val="007A419E"/>
    <w:rsid w:val="007A55F0"/>
    <w:rsid w:val="007A5892"/>
    <w:rsid w:val="007A6554"/>
    <w:rsid w:val="007A76AC"/>
    <w:rsid w:val="007B0C9B"/>
    <w:rsid w:val="007B1059"/>
    <w:rsid w:val="007B16AE"/>
    <w:rsid w:val="007B215E"/>
    <w:rsid w:val="007B2434"/>
    <w:rsid w:val="007B314F"/>
    <w:rsid w:val="007B4170"/>
    <w:rsid w:val="007B42E0"/>
    <w:rsid w:val="007B4603"/>
    <w:rsid w:val="007B5C66"/>
    <w:rsid w:val="007B63A4"/>
    <w:rsid w:val="007B70B2"/>
    <w:rsid w:val="007B7187"/>
    <w:rsid w:val="007C1498"/>
    <w:rsid w:val="007C327E"/>
    <w:rsid w:val="007C3440"/>
    <w:rsid w:val="007C3775"/>
    <w:rsid w:val="007C39AE"/>
    <w:rsid w:val="007C3D7B"/>
    <w:rsid w:val="007C53A8"/>
    <w:rsid w:val="007C5666"/>
    <w:rsid w:val="007C5A49"/>
    <w:rsid w:val="007C64EC"/>
    <w:rsid w:val="007C7251"/>
    <w:rsid w:val="007D043F"/>
    <w:rsid w:val="007D0657"/>
    <w:rsid w:val="007D1CC7"/>
    <w:rsid w:val="007D1E57"/>
    <w:rsid w:val="007D2612"/>
    <w:rsid w:val="007D4146"/>
    <w:rsid w:val="007D4ABD"/>
    <w:rsid w:val="007D5128"/>
    <w:rsid w:val="007D5217"/>
    <w:rsid w:val="007D584D"/>
    <w:rsid w:val="007D5D2B"/>
    <w:rsid w:val="007D6325"/>
    <w:rsid w:val="007D771B"/>
    <w:rsid w:val="007D78B2"/>
    <w:rsid w:val="007D79BA"/>
    <w:rsid w:val="007E057B"/>
    <w:rsid w:val="007E18C9"/>
    <w:rsid w:val="007E1EE2"/>
    <w:rsid w:val="007E4AB0"/>
    <w:rsid w:val="007E4F6E"/>
    <w:rsid w:val="007E6C55"/>
    <w:rsid w:val="007E6C64"/>
    <w:rsid w:val="007F153A"/>
    <w:rsid w:val="007F3287"/>
    <w:rsid w:val="007F41B2"/>
    <w:rsid w:val="007F4F87"/>
    <w:rsid w:val="007F5915"/>
    <w:rsid w:val="007F5A78"/>
    <w:rsid w:val="007F5B28"/>
    <w:rsid w:val="007F65DB"/>
    <w:rsid w:val="007F7475"/>
    <w:rsid w:val="007F7600"/>
    <w:rsid w:val="007F781D"/>
    <w:rsid w:val="007F7C1C"/>
    <w:rsid w:val="00800E3F"/>
    <w:rsid w:val="00802956"/>
    <w:rsid w:val="00803E29"/>
    <w:rsid w:val="00805400"/>
    <w:rsid w:val="00806833"/>
    <w:rsid w:val="00807697"/>
    <w:rsid w:val="00807A06"/>
    <w:rsid w:val="00810C22"/>
    <w:rsid w:val="00811F7C"/>
    <w:rsid w:val="00814192"/>
    <w:rsid w:val="0081439E"/>
    <w:rsid w:val="00814609"/>
    <w:rsid w:val="008178E5"/>
    <w:rsid w:val="00820397"/>
    <w:rsid w:val="00823539"/>
    <w:rsid w:val="00823E54"/>
    <w:rsid w:val="008244C7"/>
    <w:rsid w:val="0082450B"/>
    <w:rsid w:val="008253EE"/>
    <w:rsid w:val="00825D98"/>
    <w:rsid w:val="00825E71"/>
    <w:rsid w:val="00825FCE"/>
    <w:rsid w:val="0082605D"/>
    <w:rsid w:val="00826539"/>
    <w:rsid w:val="00827810"/>
    <w:rsid w:val="008320E4"/>
    <w:rsid w:val="00832DDD"/>
    <w:rsid w:val="00833422"/>
    <w:rsid w:val="008334F2"/>
    <w:rsid w:val="00833AD8"/>
    <w:rsid w:val="008346B9"/>
    <w:rsid w:val="00835724"/>
    <w:rsid w:val="00835AD6"/>
    <w:rsid w:val="008374D1"/>
    <w:rsid w:val="008375AB"/>
    <w:rsid w:val="00837B74"/>
    <w:rsid w:val="00837C9E"/>
    <w:rsid w:val="00840329"/>
    <w:rsid w:val="00840EA4"/>
    <w:rsid w:val="00841EC7"/>
    <w:rsid w:val="0084253B"/>
    <w:rsid w:val="008442BB"/>
    <w:rsid w:val="00844451"/>
    <w:rsid w:val="008449E5"/>
    <w:rsid w:val="0084533F"/>
    <w:rsid w:val="0084640C"/>
    <w:rsid w:val="00846B3A"/>
    <w:rsid w:val="008516D3"/>
    <w:rsid w:val="0085218E"/>
    <w:rsid w:val="008528D4"/>
    <w:rsid w:val="008528D9"/>
    <w:rsid w:val="00853D33"/>
    <w:rsid w:val="00853E10"/>
    <w:rsid w:val="00855728"/>
    <w:rsid w:val="00857B2C"/>
    <w:rsid w:val="00860989"/>
    <w:rsid w:val="00860A1E"/>
    <w:rsid w:val="00860F44"/>
    <w:rsid w:val="00861118"/>
    <w:rsid w:val="00862B41"/>
    <w:rsid w:val="008631EC"/>
    <w:rsid w:val="008633DE"/>
    <w:rsid w:val="00863C6E"/>
    <w:rsid w:val="00864651"/>
    <w:rsid w:val="008647DF"/>
    <w:rsid w:val="00864A12"/>
    <w:rsid w:val="00866B3D"/>
    <w:rsid w:val="0087164D"/>
    <w:rsid w:val="00872824"/>
    <w:rsid w:val="00872D1C"/>
    <w:rsid w:val="008739A0"/>
    <w:rsid w:val="00873BF8"/>
    <w:rsid w:val="00873DB0"/>
    <w:rsid w:val="00874542"/>
    <w:rsid w:val="008749AB"/>
    <w:rsid w:val="0087542A"/>
    <w:rsid w:val="008759C3"/>
    <w:rsid w:val="008763BF"/>
    <w:rsid w:val="00876598"/>
    <w:rsid w:val="00877543"/>
    <w:rsid w:val="00880A89"/>
    <w:rsid w:val="0088119F"/>
    <w:rsid w:val="008811FD"/>
    <w:rsid w:val="0088226B"/>
    <w:rsid w:val="00882E41"/>
    <w:rsid w:val="00884513"/>
    <w:rsid w:val="00885903"/>
    <w:rsid w:val="00886D37"/>
    <w:rsid w:val="008876F9"/>
    <w:rsid w:val="0089019E"/>
    <w:rsid w:val="00890B51"/>
    <w:rsid w:val="00890CDB"/>
    <w:rsid w:val="00892B7F"/>
    <w:rsid w:val="00893E38"/>
    <w:rsid w:val="00894A51"/>
    <w:rsid w:val="00894B47"/>
    <w:rsid w:val="00894DCE"/>
    <w:rsid w:val="0089561D"/>
    <w:rsid w:val="008956BA"/>
    <w:rsid w:val="00895C63"/>
    <w:rsid w:val="00896C3A"/>
    <w:rsid w:val="00896F62"/>
    <w:rsid w:val="00896FD8"/>
    <w:rsid w:val="008A1930"/>
    <w:rsid w:val="008A2378"/>
    <w:rsid w:val="008A35EB"/>
    <w:rsid w:val="008A4FF3"/>
    <w:rsid w:val="008A7656"/>
    <w:rsid w:val="008A77F2"/>
    <w:rsid w:val="008B20A1"/>
    <w:rsid w:val="008B2180"/>
    <w:rsid w:val="008B27E3"/>
    <w:rsid w:val="008B3ABF"/>
    <w:rsid w:val="008B6433"/>
    <w:rsid w:val="008B6FF3"/>
    <w:rsid w:val="008B78DD"/>
    <w:rsid w:val="008C075F"/>
    <w:rsid w:val="008C0C32"/>
    <w:rsid w:val="008C10C1"/>
    <w:rsid w:val="008C24D2"/>
    <w:rsid w:val="008C2845"/>
    <w:rsid w:val="008C2E7F"/>
    <w:rsid w:val="008C44C0"/>
    <w:rsid w:val="008C48E1"/>
    <w:rsid w:val="008C4CCE"/>
    <w:rsid w:val="008C51A3"/>
    <w:rsid w:val="008C52FF"/>
    <w:rsid w:val="008C57ED"/>
    <w:rsid w:val="008C725D"/>
    <w:rsid w:val="008C7B97"/>
    <w:rsid w:val="008D0C9F"/>
    <w:rsid w:val="008D0D56"/>
    <w:rsid w:val="008D160E"/>
    <w:rsid w:val="008D16EE"/>
    <w:rsid w:val="008D2B39"/>
    <w:rsid w:val="008D48BA"/>
    <w:rsid w:val="008D4A73"/>
    <w:rsid w:val="008D4F77"/>
    <w:rsid w:val="008D6074"/>
    <w:rsid w:val="008D60A9"/>
    <w:rsid w:val="008D7446"/>
    <w:rsid w:val="008D78DC"/>
    <w:rsid w:val="008E154E"/>
    <w:rsid w:val="008E1F5A"/>
    <w:rsid w:val="008E20EA"/>
    <w:rsid w:val="008E2749"/>
    <w:rsid w:val="008E5977"/>
    <w:rsid w:val="008E5B4D"/>
    <w:rsid w:val="008E6305"/>
    <w:rsid w:val="008E6FD0"/>
    <w:rsid w:val="008F0642"/>
    <w:rsid w:val="008F18BF"/>
    <w:rsid w:val="008F25CD"/>
    <w:rsid w:val="008F26F6"/>
    <w:rsid w:val="008F50D1"/>
    <w:rsid w:val="008F5146"/>
    <w:rsid w:val="0090043E"/>
    <w:rsid w:val="00901368"/>
    <w:rsid w:val="00901413"/>
    <w:rsid w:val="00901FFD"/>
    <w:rsid w:val="00904970"/>
    <w:rsid w:val="00904AD3"/>
    <w:rsid w:val="00905204"/>
    <w:rsid w:val="00905427"/>
    <w:rsid w:val="00905DFC"/>
    <w:rsid w:val="00905FA6"/>
    <w:rsid w:val="009067AB"/>
    <w:rsid w:val="009079AF"/>
    <w:rsid w:val="009122DD"/>
    <w:rsid w:val="00912EA8"/>
    <w:rsid w:val="00914494"/>
    <w:rsid w:val="0091469D"/>
    <w:rsid w:val="00916B32"/>
    <w:rsid w:val="0092029D"/>
    <w:rsid w:val="00920A26"/>
    <w:rsid w:val="00923F23"/>
    <w:rsid w:val="009248C5"/>
    <w:rsid w:val="009268E7"/>
    <w:rsid w:val="00926AFA"/>
    <w:rsid w:val="00927071"/>
    <w:rsid w:val="00927B55"/>
    <w:rsid w:val="00934D3D"/>
    <w:rsid w:val="00935EDC"/>
    <w:rsid w:val="00935EEF"/>
    <w:rsid w:val="00936699"/>
    <w:rsid w:val="00936AB1"/>
    <w:rsid w:val="00936CAF"/>
    <w:rsid w:val="009405CA"/>
    <w:rsid w:val="009425AE"/>
    <w:rsid w:val="0094275D"/>
    <w:rsid w:val="00944C49"/>
    <w:rsid w:val="00945CC8"/>
    <w:rsid w:val="00946EC8"/>
    <w:rsid w:val="009470E0"/>
    <w:rsid w:val="00947F86"/>
    <w:rsid w:val="00950932"/>
    <w:rsid w:val="00950BAB"/>
    <w:rsid w:val="00950F0F"/>
    <w:rsid w:val="009515F0"/>
    <w:rsid w:val="00953242"/>
    <w:rsid w:val="009563C7"/>
    <w:rsid w:val="00956A27"/>
    <w:rsid w:val="009606BF"/>
    <w:rsid w:val="00960A0B"/>
    <w:rsid w:val="009613D6"/>
    <w:rsid w:val="009624FC"/>
    <w:rsid w:val="0096328B"/>
    <w:rsid w:val="00963359"/>
    <w:rsid w:val="0096366A"/>
    <w:rsid w:val="0096399E"/>
    <w:rsid w:val="00964028"/>
    <w:rsid w:val="009644BD"/>
    <w:rsid w:val="0096535F"/>
    <w:rsid w:val="00965C4A"/>
    <w:rsid w:val="00967720"/>
    <w:rsid w:val="00971E63"/>
    <w:rsid w:val="00973EB8"/>
    <w:rsid w:val="00974C39"/>
    <w:rsid w:val="00974FF0"/>
    <w:rsid w:val="00975C98"/>
    <w:rsid w:val="009771CE"/>
    <w:rsid w:val="00977E9F"/>
    <w:rsid w:val="00980692"/>
    <w:rsid w:val="00980E30"/>
    <w:rsid w:val="00981F38"/>
    <w:rsid w:val="00982441"/>
    <w:rsid w:val="00984592"/>
    <w:rsid w:val="009847EA"/>
    <w:rsid w:val="00986103"/>
    <w:rsid w:val="0098629E"/>
    <w:rsid w:val="00986D09"/>
    <w:rsid w:val="00987F86"/>
    <w:rsid w:val="00990124"/>
    <w:rsid w:val="0099047E"/>
    <w:rsid w:val="009927FF"/>
    <w:rsid w:val="00992A35"/>
    <w:rsid w:val="00992B10"/>
    <w:rsid w:val="00993EEA"/>
    <w:rsid w:val="00994536"/>
    <w:rsid w:val="00994840"/>
    <w:rsid w:val="00994F73"/>
    <w:rsid w:val="0099780B"/>
    <w:rsid w:val="009A18D3"/>
    <w:rsid w:val="009A1B5E"/>
    <w:rsid w:val="009A311B"/>
    <w:rsid w:val="009A5125"/>
    <w:rsid w:val="009A54A6"/>
    <w:rsid w:val="009A5D1E"/>
    <w:rsid w:val="009A6A0D"/>
    <w:rsid w:val="009A6DE6"/>
    <w:rsid w:val="009A7055"/>
    <w:rsid w:val="009A7500"/>
    <w:rsid w:val="009A7A3C"/>
    <w:rsid w:val="009A7E31"/>
    <w:rsid w:val="009B016E"/>
    <w:rsid w:val="009B0E91"/>
    <w:rsid w:val="009B10C0"/>
    <w:rsid w:val="009B1103"/>
    <w:rsid w:val="009B22B0"/>
    <w:rsid w:val="009B25F5"/>
    <w:rsid w:val="009B2F3C"/>
    <w:rsid w:val="009B2FAA"/>
    <w:rsid w:val="009B4318"/>
    <w:rsid w:val="009B4803"/>
    <w:rsid w:val="009B482A"/>
    <w:rsid w:val="009B664B"/>
    <w:rsid w:val="009C028E"/>
    <w:rsid w:val="009C0851"/>
    <w:rsid w:val="009C0B4C"/>
    <w:rsid w:val="009C0C6B"/>
    <w:rsid w:val="009C0D8E"/>
    <w:rsid w:val="009C2B94"/>
    <w:rsid w:val="009C46A5"/>
    <w:rsid w:val="009C492A"/>
    <w:rsid w:val="009C550F"/>
    <w:rsid w:val="009C5E97"/>
    <w:rsid w:val="009C7901"/>
    <w:rsid w:val="009C7DDA"/>
    <w:rsid w:val="009D13ED"/>
    <w:rsid w:val="009D1690"/>
    <w:rsid w:val="009D20DC"/>
    <w:rsid w:val="009D2645"/>
    <w:rsid w:val="009D3EF1"/>
    <w:rsid w:val="009D460D"/>
    <w:rsid w:val="009D585B"/>
    <w:rsid w:val="009D5BF5"/>
    <w:rsid w:val="009D5FBF"/>
    <w:rsid w:val="009D66AB"/>
    <w:rsid w:val="009D76AE"/>
    <w:rsid w:val="009E1306"/>
    <w:rsid w:val="009E1AC6"/>
    <w:rsid w:val="009E28A5"/>
    <w:rsid w:val="009E2B6C"/>
    <w:rsid w:val="009E2EF1"/>
    <w:rsid w:val="009E4CF1"/>
    <w:rsid w:val="009E790E"/>
    <w:rsid w:val="009F15C6"/>
    <w:rsid w:val="009F3781"/>
    <w:rsid w:val="009F4058"/>
    <w:rsid w:val="009F6427"/>
    <w:rsid w:val="009F6A00"/>
    <w:rsid w:val="009F6D35"/>
    <w:rsid w:val="009F7202"/>
    <w:rsid w:val="00A00D45"/>
    <w:rsid w:val="00A00E89"/>
    <w:rsid w:val="00A01D02"/>
    <w:rsid w:val="00A030A7"/>
    <w:rsid w:val="00A0346F"/>
    <w:rsid w:val="00A03675"/>
    <w:rsid w:val="00A03FC7"/>
    <w:rsid w:val="00A06CA6"/>
    <w:rsid w:val="00A1005B"/>
    <w:rsid w:val="00A10AFA"/>
    <w:rsid w:val="00A10BF9"/>
    <w:rsid w:val="00A112CA"/>
    <w:rsid w:val="00A133D3"/>
    <w:rsid w:val="00A1377A"/>
    <w:rsid w:val="00A138EF"/>
    <w:rsid w:val="00A13BA7"/>
    <w:rsid w:val="00A14673"/>
    <w:rsid w:val="00A146D3"/>
    <w:rsid w:val="00A149C0"/>
    <w:rsid w:val="00A14E9A"/>
    <w:rsid w:val="00A15352"/>
    <w:rsid w:val="00A15A95"/>
    <w:rsid w:val="00A15F2E"/>
    <w:rsid w:val="00A16E12"/>
    <w:rsid w:val="00A17DAF"/>
    <w:rsid w:val="00A2111D"/>
    <w:rsid w:val="00A2236C"/>
    <w:rsid w:val="00A22E20"/>
    <w:rsid w:val="00A23708"/>
    <w:rsid w:val="00A237D2"/>
    <w:rsid w:val="00A23C9C"/>
    <w:rsid w:val="00A23E59"/>
    <w:rsid w:val="00A2446B"/>
    <w:rsid w:val="00A24B04"/>
    <w:rsid w:val="00A250AA"/>
    <w:rsid w:val="00A25318"/>
    <w:rsid w:val="00A25C8D"/>
    <w:rsid w:val="00A26B75"/>
    <w:rsid w:val="00A26CFE"/>
    <w:rsid w:val="00A275C7"/>
    <w:rsid w:val="00A27F9F"/>
    <w:rsid w:val="00A309FD"/>
    <w:rsid w:val="00A32E9E"/>
    <w:rsid w:val="00A335C3"/>
    <w:rsid w:val="00A343D6"/>
    <w:rsid w:val="00A3458E"/>
    <w:rsid w:val="00A34625"/>
    <w:rsid w:val="00A350B7"/>
    <w:rsid w:val="00A35F09"/>
    <w:rsid w:val="00A36370"/>
    <w:rsid w:val="00A369DA"/>
    <w:rsid w:val="00A36FA2"/>
    <w:rsid w:val="00A4060E"/>
    <w:rsid w:val="00A409F0"/>
    <w:rsid w:val="00A4103F"/>
    <w:rsid w:val="00A41217"/>
    <w:rsid w:val="00A416DC"/>
    <w:rsid w:val="00A41F3E"/>
    <w:rsid w:val="00A42251"/>
    <w:rsid w:val="00A435DF"/>
    <w:rsid w:val="00A43C77"/>
    <w:rsid w:val="00A4411C"/>
    <w:rsid w:val="00A444BE"/>
    <w:rsid w:val="00A45543"/>
    <w:rsid w:val="00A46A64"/>
    <w:rsid w:val="00A51189"/>
    <w:rsid w:val="00A512CB"/>
    <w:rsid w:val="00A51517"/>
    <w:rsid w:val="00A52402"/>
    <w:rsid w:val="00A53853"/>
    <w:rsid w:val="00A549AD"/>
    <w:rsid w:val="00A54E8E"/>
    <w:rsid w:val="00A55851"/>
    <w:rsid w:val="00A55916"/>
    <w:rsid w:val="00A560C7"/>
    <w:rsid w:val="00A561B3"/>
    <w:rsid w:val="00A5727F"/>
    <w:rsid w:val="00A620B9"/>
    <w:rsid w:val="00A624AE"/>
    <w:rsid w:val="00A6280D"/>
    <w:rsid w:val="00A64CB9"/>
    <w:rsid w:val="00A66479"/>
    <w:rsid w:val="00A70591"/>
    <w:rsid w:val="00A71B32"/>
    <w:rsid w:val="00A72CE9"/>
    <w:rsid w:val="00A73B9B"/>
    <w:rsid w:val="00A73C64"/>
    <w:rsid w:val="00A74447"/>
    <w:rsid w:val="00A746D0"/>
    <w:rsid w:val="00A75EA4"/>
    <w:rsid w:val="00A76A8D"/>
    <w:rsid w:val="00A77018"/>
    <w:rsid w:val="00A77FE9"/>
    <w:rsid w:val="00A810A2"/>
    <w:rsid w:val="00A81435"/>
    <w:rsid w:val="00A81DDC"/>
    <w:rsid w:val="00A82290"/>
    <w:rsid w:val="00A824C6"/>
    <w:rsid w:val="00A834ED"/>
    <w:rsid w:val="00A835F7"/>
    <w:rsid w:val="00A8377A"/>
    <w:rsid w:val="00A847C4"/>
    <w:rsid w:val="00A84C95"/>
    <w:rsid w:val="00A8505B"/>
    <w:rsid w:val="00A85505"/>
    <w:rsid w:val="00A85ACA"/>
    <w:rsid w:val="00A86477"/>
    <w:rsid w:val="00A87C31"/>
    <w:rsid w:val="00A87EB7"/>
    <w:rsid w:val="00A912B4"/>
    <w:rsid w:val="00A918E0"/>
    <w:rsid w:val="00A91A2E"/>
    <w:rsid w:val="00A9215E"/>
    <w:rsid w:val="00A92E1D"/>
    <w:rsid w:val="00A950C9"/>
    <w:rsid w:val="00A95DC3"/>
    <w:rsid w:val="00A960AD"/>
    <w:rsid w:val="00A96127"/>
    <w:rsid w:val="00A96373"/>
    <w:rsid w:val="00A96B31"/>
    <w:rsid w:val="00A972D7"/>
    <w:rsid w:val="00AA11FB"/>
    <w:rsid w:val="00AA1231"/>
    <w:rsid w:val="00AA13CA"/>
    <w:rsid w:val="00AA1B83"/>
    <w:rsid w:val="00AA2135"/>
    <w:rsid w:val="00AA2966"/>
    <w:rsid w:val="00AA3D64"/>
    <w:rsid w:val="00AA3F7D"/>
    <w:rsid w:val="00AA45F6"/>
    <w:rsid w:val="00AA532C"/>
    <w:rsid w:val="00AA5FAD"/>
    <w:rsid w:val="00AA69DC"/>
    <w:rsid w:val="00AA7872"/>
    <w:rsid w:val="00AB0341"/>
    <w:rsid w:val="00AB0DC1"/>
    <w:rsid w:val="00AB1626"/>
    <w:rsid w:val="00AB1930"/>
    <w:rsid w:val="00AB3CD4"/>
    <w:rsid w:val="00AB3FDC"/>
    <w:rsid w:val="00AB400B"/>
    <w:rsid w:val="00AB6534"/>
    <w:rsid w:val="00AB6761"/>
    <w:rsid w:val="00AB6FC9"/>
    <w:rsid w:val="00AC0457"/>
    <w:rsid w:val="00AC07FF"/>
    <w:rsid w:val="00AC0C78"/>
    <w:rsid w:val="00AC20F5"/>
    <w:rsid w:val="00AC23B6"/>
    <w:rsid w:val="00AC417E"/>
    <w:rsid w:val="00AC47BD"/>
    <w:rsid w:val="00AC50CE"/>
    <w:rsid w:val="00AC6054"/>
    <w:rsid w:val="00AC6680"/>
    <w:rsid w:val="00AC6955"/>
    <w:rsid w:val="00AC733E"/>
    <w:rsid w:val="00AC797F"/>
    <w:rsid w:val="00AD0EAF"/>
    <w:rsid w:val="00AD2E48"/>
    <w:rsid w:val="00AD413D"/>
    <w:rsid w:val="00AD45FE"/>
    <w:rsid w:val="00AD75B0"/>
    <w:rsid w:val="00AD7DBA"/>
    <w:rsid w:val="00AE1082"/>
    <w:rsid w:val="00AE25B2"/>
    <w:rsid w:val="00AE270B"/>
    <w:rsid w:val="00AE28B9"/>
    <w:rsid w:val="00AE393E"/>
    <w:rsid w:val="00AE4018"/>
    <w:rsid w:val="00AE480D"/>
    <w:rsid w:val="00AE5AFD"/>
    <w:rsid w:val="00AF1546"/>
    <w:rsid w:val="00AF274B"/>
    <w:rsid w:val="00AF372D"/>
    <w:rsid w:val="00AF3EB3"/>
    <w:rsid w:val="00AF45BD"/>
    <w:rsid w:val="00AF5886"/>
    <w:rsid w:val="00AF5908"/>
    <w:rsid w:val="00AF6E17"/>
    <w:rsid w:val="00AF7F77"/>
    <w:rsid w:val="00B01846"/>
    <w:rsid w:val="00B01B70"/>
    <w:rsid w:val="00B03069"/>
    <w:rsid w:val="00B03CDC"/>
    <w:rsid w:val="00B03D25"/>
    <w:rsid w:val="00B03D69"/>
    <w:rsid w:val="00B04898"/>
    <w:rsid w:val="00B04BF3"/>
    <w:rsid w:val="00B051FB"/>
    <w:rsid w:val="00B053B0"/>
    <w:rsid w:val="00B062EF"/>
    <w:rsid w:val="00B07107"/>
    <w:rsid w:val="00B07A86"/>
    <w:rsid w:val="00B119E7"/>
    <w:rsid w:val="00B15071"/>
    <w:rsid w:val="00B15516"/>
    <w:rsid w:val="00B15A29"/>
    <w:rsid w:val="00B17C32"/>
    <w:rsid w:val="00B17F69"/>
    <w:rsid w:val="00B218B1"/>
    <w:rsid w:val="00B22FC0"/>
    <w:rsid w:val="00B23A5D"/>
    <w:rsid w:val="00B2608B"/>
    <w:rsid w:val="00B26FB1"/>
    <w:rsid w:val="00B279EC"/>
    <w:rsid w:val="00B311BB"/>
    <w:rsid w:val="00B31325"/>
    <w:rsid w:val="00B337E0"/>
    <w:rsid w:val="00B338EA"/>
    <w:rsid w:val="00B3553B"/>
    <w:rsid w:val="00B3654F"/>
    <w:rsid w:val="00B3679E"/>
    <w:rsid w:val="00B40A81"/>
    <w:rsid w:val="00B41013"/>
    <w:rsid w:val="00B415E0"/>
    <w:rsid w:val="00B42807"/>
    <w:rsid w:val="00B43219"/>
    <w:rsid w:val="00B43657"/>
    <w:rsid w:val="00B446DE"/>
    <w:rsid w:val="00B44B11"/>
    <w:rsid w:val="00B44C71"/>
    <w:rsid w:val="00B44F7F"/>
    <w:rsid w:val="00B454AD"/>
    <w:rsid w:val="00B50695"/>
    <w:rsid w:val="00B50DD2"/>
    <w:rsid w:val="00B51874"/>
    <w:rsid w:val="00B51946"/>
    <w:rsid w:val="00B52ADC"/>
    <w:rsid w:val="00B52FAB"/>
    <w:rsid w:val="00B53041"/>
    <w:rsid w:val="00B56186"/>
    <w:rsid w:val="00B56C7D"/>
    <w:rsid w:val="00B56F5D"/>
    <w:rsid w:val="00B60215"/>
    <w:rsid w:val="00B6073A"/>
    <w:rsid w:val="00B61508"/>
    <w:rsid w:val="00B647A9"/>
    <w:rsid w:val="00B65B2E"/>
    <w:rsid w:val="00B66110"/>
    <w:rsid w:val="00B67FD8"/>
    <w:rsid w:val="00B71F49"/>
    <w:rsid w:val="00B732FE"/>
    <w:rsid w:val="00B74E32"/>
    <w:rsid w:val="00B75757"/>
    <w:rsid w:val="00B758B5"/>
    <w:rsid w:val="00B75AC4"/>
    <w:rsid w:val="00B76441"/>
    <w:rsid w:val="00B76A71"/>
    <w:rsid w:val="00B77018"/>
    <w:rsid w:val="00B771B2"/>
    <w:rsid w:val="00B775E2"/>
    <w:rsid w:val="00B80040"/>
    <w:rsid w:val="00B80A54"/>
    <w:rsid w:val="00B80A91"/>
    <w:rsid w:val="00B80EA3"/>
    <w:rsid w:val="00B82CE2"/>
    <w:rsid w:val="00B833B5"/>
    <w:rsid w:val="00B83D28"/>
    <w:rsid w:val="00B86785"/>
    <w:rsid w:val="00B86CBE"/>
    <w:rsid w:val="00B9053D"/>
    <w:rsid w:val="00B91B8A"/>
    <w:rsid w:val="00B92C45"/>
    <w:rsid w:val="00B93301"/>
    <w:rsid w:val="00B93353"/>
    <w:rsid w:val="00B939AC"/>
    <w:rsid w:val="00B94B29"/>
    <w:rsid w:val="00B94BBE"/>
    <w:rsid w:val="00B94F01"/>
    <w:rsid w:val="00B950C9"/>
    <w:rsid w:val="00B9512B"/>
    <w:rsid w:val="00B951CE"/>
    <w:rsid w:val="00B96925"/>
    <w:rsid w:val="00B97C62"/>
    <w:rsid w:val="00B97F7A"/>
    <w:rsid w:val="00BA2E71"/>
    <w:rsid w:val="00BA42C6"/>
    <w:rsid w:val="00BA570D"/>
    <w:rsid w:val="00BA5996"/>
    <w:rsid w:val="00BA5F46"/>
    <w:rsid w:val="00BA6C74"/>
    <w:rsid w:val="00BA7761"/>
    <w:rsid w:val="00BA7E63"/>
    <w:rsid w:val="00BB0605"/>
    <w:rsid w:val="00BB0E1E"/>
    <w:rsid w:val="00BB404C"/>
    <w:rsid w:val="00BB7DC3"/>
    <w:rsid w:val="00BC0B8B"/>
    <w:rsid w:val="00BC110F"/>
    <w:rsid w:val="00BC16CA"/>
    <w:rsid w:val="00BC194D"/>
    <w:rsid w:val="00BC2EF0"/>
    <w:rsid w:val="00BC38D2"/>
    <w:rsid w:val="00BC3E91"/>
    <w:rsid w:val="00BC5E92"/>
    <w:rsid w:val="00BC64FD"/>
    <w:rsid w:val="00BC6878"/>
    <w:rsid w:val="00BC730E"/>
    <w:rsid w:val="00BC7379"/>
    <w:rsid w:val="00BD07B5"/>
    <w:rsid w:val="00BD099F"/>
    <w:rsid w:val="00BD0A46"/>
    <w:rsid w:val="00BD1875"/>
    <w:rsid w:val="00BD251B"/>
    <w:rsid w:val="00BD37DD"/>
    <w:rsid w:val="00BD38F9"/>
    <w:rsid w:val="00BD3D7A"/>
    <w:rsid w:val="00BD471D"/>
    <w:rsid w:val="00BD473B"/>
    <w:rsid w:val="00BD49A9"/>
    <w:rsid w:val="00BD4A31"/>
    <w:rsid w:val="00BD56E3"/>
    <w:rsid w:val="00BD5AAD"/>
    <w:rsid w:val="00BD6DA5"/>
    <w:rsid w:val="00BD708D"/>
    <w:rsid w:val="00BD77EF"/>
    <w:rsid w:val="00BE03D1"/>
    <w:rsid w:val="00BE1980"/>
    <w:rsid w:val="00BE439E"/>
    <w:rsid w:val="00BE463C"/>
    <w:rsid w:val="00BE6129"/>
    <w:rsid w:val="00BE6774"/>
    <w:rsid w:val="00BE6F87"/>
    <w:rsid w:val="00BE72E7"/>
    <w:rsid w:val="00BF19A9"/>
    <w:rsid w:val="00BF2082"/>
    <w:rsid w:val="00BF411E"/>
    <w:rsid w:val="00BF5C7C"/>
    <w:rsid w:val="00BF5F3F"/>
    <w:rsid w:val="00BF70D7"/>
    <w:rsid w:val="00BF72B7"/>
    <w:rsid w:val="00BF7BD9"/>
    <w:rsid w:val="00C00852"/>
    <w:rsid w:val="00C00AAE"/>
    <w:rsid w:val="00C029AD"/>
    <w:rsid w:val="00C037FF"/>
    <w:rsid w:val="00C049F6"/>
    <w:rsid w:val="00C059F2"/>
    <w:rsid w:val="00C05B8D"/>
    <w:rsid w:val="00C05D11"/>
    <w:rsid w:val="00C0657B"/>
    <w:rsid w:val="00C0723F"/>
    <w:rsid w:val="00C076CE"/>
    <w:rsid w:val="00C1023C"/>
    <w:rsid w:val="00C117A1"/>
    <w:rsid w:val="00C124A9"/>
    <w:rsid w:val="00C127FF"/>
    <w:rsid w:val="00C131AD"/>
    <w:rsid w:val="00C1333B"/>
    <w:rsid w:val="00C150AC"/>
    <w:rsid w:val="00C15483"/>
    <w:rsid w:val="00C154F1"/>
    <w:rsid w:val="00C15A1A"/>
    <w:rsid w:val="00C16384"/>
    <w:rsid w:val="00C200AB"/>
    <w:rsid w:val="00C215C8"/>
    <w:rsid w:val="00C2218D"/>
    <w:rsid w:val="00C242ED"/>
    <w:rsid w:val="00C24AA4"/>
    <w:rsid w:val="00C256AF"/>
    <w:rsid w:val="00C26234"/>
    <w:rsid w:val="00C30869"/>
    <w:rsid w:val="00C3238F"/>
    <w:rsid w:val="00C33032"/>
    <w:rsid w:val="00C33ACE"/>
    <w:rsid w:val="00C34295"/>
    <w:rsid w:val="00C34338"/>
    <w:rsid w:val="00C35CD8"/>
    <w:rsid w:val="00C411A0"/>
    <w:rsid w:val="00C4267B"/>
    <w:rsid w:val="00C42F58"/>
    <w:rsid w:val="00C42FB3"/>
    <w:rsid w:val="00C42FF0"/>
    <w:rsid w:val="00C434A6"/>
    <w:rsid w:val="00C43884"/>
    <w:rsid w:val="00C44302"/>
    <w:rsid w:val="00C44490"/>
    <w:rsid w:val="00C447EA"/>
    <w:rsid w:val="00C44872"/>
    <w:rsid w:val="00C45369"/>
    <w:rsid w:val="00C4576C"/>
    <w:rsid w:val="00C45963"/>
    <w:rsid w:val="00C459D1"/>
    <w:rsid w:val="00C46D2D"/>
    <w:rsid w:val="00C46F30"/>
    <w:rsid w:val="00C47989"/>
    <w:rsid w:val="00C51A5E"/>
    <w:rsid w:val="00C51B2E"/>
    <w:rsid w:val="00C53ED5"/>
    <w:rsid w:val="00C5416D"/>
    <w:rsid w:val="00C542DE"/>
    <w:rsid w:val="00C5450B"/>
    <w:rsid w:val="00C5460A"/>
    <w:rsid w:val="00C55D4C"/>
    <w:rsid w:val="00C57632"/>
    <w:rsid w:val="00C57B1C"/>
    <w:rsid w:val="00C57EE5"/>
    <w:rsid w:val="00C60793"/>
    <w:rsid w:val="00C609CD"/>
    <w:rsid w:val="00C61100"/>
    <w:rsid w:val="00C63C61"/>
    <w:rsid w:val="00C63F39"/>
    <w:rsid w:val="00C6426A"/>
    <w:rsid w:val="00C642A4"/>
    <w:rsid w:val="00C64AB0"/>
    <w:rsid w:val="00C64AB7"/>
    <w:rsid w:val="00C665DE"/>
    <w:rsid w:val="00C66B23"/>
    <w:rsid w:val="00C66F43"/>
    <w:rsid w:val="00C67327"/>
    <w:rsid w:val="00C67F2F"/>
    <w:rsid w:val="00C703F5"/>
    <w:rsid w:val="00C70B34"/>
    <w:rsid w:val="00C73B0D"/>
    <w:rsid w:val="00C74DB8"/>
    <w:rsid w:val="00C767FA"/>
    <w:rsid w:val="00C77EBA"/>
    <w:rsid w:val="00C80B4B"/>
    <w:rsid w:val="00C81C54"/>
    <w:rsid w:val="00C826DD"/>
    <w:rsid w:val="00C831A3"/>
    <w:rsid w:val="00C85339"/>
    <w:rsid w:val="00C8545C"/>
    <w:rsid w:val="00C878A2"/>
    <w:rsid w:val="00C901A3"/>
    <w:rsid w:val="00C90AB8"/>
    <w:rsid w:val="00C911F9"/>
    <w:rsid w:val="00C92EB6"/>
    <w:rsid w:val="00C93394"/>
    <w:rsid w:val="00C93CFE"/>
    <w:rsid w:val="00C945A8"/>
    <w:rsid w:val="00C94EF5"/>
    <w:rsid w:val="00C9689C"/>
    <w:rsid w:val="00C97288"/>
    <w:rsid w:val="00C97F1F"/>
    <w:rsid w:val="00CA042A"/>
    <w:rsid w:val="00CA0A5E"/>
    <w:rsid w:val="00CA0C84"/>
    <w:rsid w:val="00CA1350"/>
    <w:rsid w:val="00CA2195"/>
    <w:rsid w:val="00CA2275"/>
    <w:rsid w:val="00CA326E"/>
    <w:rsid w:val="00CA3517"/>
    <w:rsid w:val="00CA459D"/>
    <w:rsid w:val="00CA46F6"/>
    <w:rsid w:val="00CA7530"/>
    <w:rsid w:val="00CA7995"/>
    <w:rsid w:val="00CA7A40"/>
    <w:rsid w:val="00CB098D"/>
    <w:rsid w:val="00CB1C48"/>
    <w:rsid w:val="00CB1CB0"/>
    <w:rsid w:val="00CB1F63"/>
    <w:rsid w:val="00CB200C"/>
    <w:rsid w:val="00CB3485"/>
    <w:rsid w:val="00CB357F"/>
    <w:rsid w:val="00CB4813"/>
    <w:rsid w:val="00CB4933"/>
    <w:rsid w:val="00CB57C2"/>
    <w:rsid w:val="00CB5842"/>
    <w:rsid w:val="00CC012C"/>
    <w:rsid w:val="00CC071A"/>
    <w:rsid w:val="00CC0C59"/>
    <w:rsid w:val="00CC0DEA"/>
    <w:rsid w:val="00CC234E"/>
    <w:rsid w:val="00CC2854"/>
    <w:rsid w:val="00CC3778"/>
    <w:rsid w:val="00CC48EC"/>
    <w:rsid w:val="00CC7309"/>
    <w:rsid w:val="00CC7A16"/>
    <w:rsid w:val="00CD0196"/>
    <w:rsid w:val="00CD048A"/>
    <w:rsid w:val="00CD0696"/>
    <w:rsid w:val="00CD10CD"/>
    <w:rsid w:val="00CD234A"/>
    <w:rsid w:val="00CD2884"/>
    <w:rsid w:val="00CD3039"/>
    <w:rsid w:val="00CD41BB"/>
    <w:rsid w:val="00CD45A8"/>
    <w:rsid w:val="00CD5C36"/>
    <w:rsid w:val="00CD6B6B"/>
    <w:rsid w:val="00CD6D34"/>
    <w:rsid w:val="00CD72CE"/>
    <w:rsid w:val="00CD7C39"/>
    <w:rsid w:val="00CE069F"/>
    <w:rsid w:val="00CE0AA1"/>
    <w:rsid w:val="00CE0CBC"/>
    <w:rsid w:val="00CE17E9"/>
    <w:rsid w:val="00CE3757"/>
    <w:rsid w:val="00CE3A26"/>
    <w:rsid w:val="00CE5E44"/>
    <w:rsid w:val="00CE69C5"/>
    <w:rsid w:val="00CE7820"/>
    <w:rsid w:val="00CF01EB"/>
    <w:rsid w:val="00CF0B93"/>
    <w:rsid w:val="00CF2976"/>
    <w:rsid w:val="00CF33D1"/>
    <w:rsid w:val="00CF45FA"/>
    <w:rsid w:val="00CF4F90"/>
    <w:rsid w:val="00CF58B8"/>
    <w:rsid w:val="00CF5A11"/>
    <w:rsid w:val="00D00292"/>
    <w:rsid w:val="00D00C0C"/>
    <w:rsid w:val="00D032DC"/>
    <w:rsid w:val="00D0384A"/>
    <w:rsid w:val="00D03D6A"/>
    <w:rsid w:val="00D04177"/>
    <w:rsid w:val="00D053F0"/>
    <w:rsid w:val="00D061D9"/>
    <w:rsid w:val="00D06AA6"/>
    <w:rsid w:val="00D06B2C"/>
    <w:rsid w:val="00D117E2"/>
    <w:rsid w:val="00D12898"/>
    <w:rsid w:val="00D1723B"/>
    <w:rsid w:val="00D2017E"/>
    <w:rsid w:val="00D21D23"/>
    <w:rsid w:val="00D225A0"/>
    <w:rsid w:val="00D227D2"/>
    <w:rsid w:val="00D23849"/>
    <w:rsid w:val="00D246BC"/>
    <w:rsid w:val="00D2514C"/>
    <w:rsid w:val="00D25465"/>
    <w:rsid w:val="00D258E9"/>
    <w:rsid w:val="00D307AF"/>
    <w:rsid w:val="00D315E4"/>
    <w:rsid w:val="00D3164C"/>
    <w:rsid w:val="00D31DB1"/>
    <w:rsid w:val="00D34501"/>
    <w:rsid w:val="00D35002"/>
    <w:rsid w:val="00D35480"/>
    <w:rsid w:val="00D35ECA"/>
    <w:rsid w:val="00D36555"/>
    <w:rsid w:val="00D36DFE"/>
    <w:rsid w:val="00D37918"/>
    <w:rsid w:val="00D4261F"/>
    <w:rsid w:val="00D43F31"/>
    <w:rsid w:val="00D452BC"/>
    <w:rsid w:val="00D453C7"/>
    <w:rsid w:val="00D4608B"/>
    <w:rsid w:val="00D4608C"/>
    <w:rsid w:val="00D46341"/>
    <w:rsid w:val="00D46D14"/>
    <w:rsid w:val="00D47179"/>
    <w:rsid w:val="00D47B24"/>
    <w:rsid w:val="00D50C67"/>
    <w:rsid w:val="00D512DD"/>
    <w:rsid w:val="00D515B3"/>
    <w:rsid w:val="00D52901"/>
    <w:rsid w:val="00D52F2D"/>
    <w:rsid w:val="00D531A0"/>
    <w:rsid w:val="00D531D4"/>
    <w:rsid w:val="00D53C4D"/>
    <w:rsid w:val="00D5461F"/>
    <w:rsid w:val="00D553BE"/>
    <w:rsid w:val="00D56EF4"/>
    <w:rsid w:val="00D572B1"/>
    <w:rsid w:val="00D573EB"/>
    <w:rsid w:val="00D6192E"/>
    <w:rsid w:val="00D62237"/>
    <w:rsid w:val="00D63673"/>
    <w:rsid w:val="00D63EB5"/>
    <w:rsid w:val="00D647B9"/>
    <w:rsid w:val="00D6565F"/>
    <w:rsid w:val="00D65769"/>
    <w:rsid w:val="00D65AA6"/>
    <w:rsid w:val="00D67064"/>
    <w:rsid w:val="00D70082"/>
    <w:rsid w:val="00D71C80"/>
    <w:rsid w:val="00D75494"/>
    <w:rsid w:val="00D7607E"/>
    <w:rsid w:val="00D76406"/>
    <w:rsid w:val="00D77B5D"/>
    <w:rsid w:val="00D77C9B"/>
    <w:rsid w:val="00D80E19"/>
    <w:rsid w:val="00D81A1D"/>
    <w:rsid w:val="00D8322F"/>
    <w:rsid w:val="00D83F8C"/>
    <w:rsid w:val="00D85B76"/>
    <w:rsid w:val="00D85D3A"/>
    <w:rsid w:val="00D864E9"/>
    <w:rsid w:val="00D873D5"/>
    <w:rsid w:val="00D874D3"/>
    <w:rsid w:val="00D90000"/>
    <w:rsid w:val="00D904FA"/>
    <w:rsid w:val="00D9163E"/>
    <w:rsid w:val="00D93D4B"/>
    <w:rsid w:val="00D94968"/>
    <w:rsid w:val="00D953A0"/>
    <w:rsid w:val="00D957AE"/>
    <w:rsid w:val="00D9605B"/>
    <w:rsid w:val="00D96174"/>
    <w:rsid w:val="00D961E3"/>
    <w:rsid w:val="00D96538"/>
    <w:rsid w:val="00DA37BE"/>
    <w:rsid w:val="00DA4608"/>
    <w:rsid w:val="00DA47A8"/>
    <w:rsid w:val="00DA4D9A"/>
    <w:rsid w:val="00DA5A58"/>
    <w:rsid w:val="00DA5B6C"/>
    <w:rsid w:val="00DA5DBF"/>
    <w:rsid w:val="00DA6DF0"/>
    <w:rsid w:val="00DA7F9E"/>
    <w:rsid w:val="00DB1FA7"/>
    <w:rsid w:val="00DB26C9"/>
    <w:rsid w:val="00DB2A4E"/>
    <w:rsid w:val="00DB2FC5"/>
    <w:rsid w:val="00DB418D"/>
    <w:rsid w:val="00DB46E5"/>
    <w:rsid w:val="00DB4E53"/>
    <w:rsid w:val="00DB5000"/>
    <w:rsid w:val="00DB525F"/>
    <w:rsid w:val="00DB5350"/>
    <w:rsid w:val="00DB7195"/>
    <w:rsid w:val="00DC1C1A"/>
    <w:rsid w:val="00DC24CB"/>
    <w:rsid w:val="00DC2CE7"/>
    <w:rsid w:val="00DC3183"/>
    <w:rsid w:val="00DC3A6C"/>
    <w:rsid w:val="00DC5A06"/>
    <w:rsid w:val="00DC6707"/>
    <w:rsid w:val="00DC790F"/>
    <w:rsid w:val="00DD0C86"/>
    <w:rsid w:val="00DD1E23"/>
    <w:rsid w:val="00DD3B0F"/>
    <w:rsid w:val="00DD435D"/>
    <w:rsid w:val="00DE1D33"/>
    <w:rsid w:val="00DE374B"/>
    <w:rsid w:val="00DE3B87"/>
    <w:rsid w:val="00DE3BD0"/>
    <w:rsid w:val="00DE4DE1"/>
    <w:rsid w:val="00DE50AC"/>
    <w:rsid w:val="00DE52AA"/>
    <w:rsid w:val="00DE564A"/>
    <w:rsid w:val="00DE5F74"/>
    <w:rsid w:val="00DE6953"/>
    <w:rsid w:val="00DE69F3"/>
    <w:rsid w:val="00DF15F9"/>
    <w:rsid w:val="00DF174D"/>
    <w:rsid w:val="00DF3026"/>
    <w:rsid w:val="00DF3311"/>
    <w:rsid w:val="00DF3623"/>
    <w:rsid w:val="00DF390E"/>
    <w:rsid w:val="00DF3AF6"/>
    <w:rsid w:val="00DF3B02"/>
    <w:rsid w:val="00DF5EB9"/>
    <w:rsid w:val="00DF650C"/>
    <w:rsid w:val="00E00318"/>
    <w:rsid w:val="00E00354"/>
    <w:rsid w:val="00E00522"/>
    <w:rsid w:val="00E009C6"/>
    <w:rsid w:val="00E00C88"/>
    <w:rsid w:val="00E043CD"/>
    <w:rsid w:val="00E04539"/>
    <w:rsid w:val="00E04976"/>
    <w:rsid w:val="00E0534C"/>
    <w:rsid w:val="00E05F71"/>
    <w:rsid w:val="00E077DC"/>
    <w:rsid w:val="00E111A5"/>
    <w:rsid w:val="00E113BC"/>
    <w:rsid w:val="00E12ED9"/>
    <w:rsid w:val="00E13754"/>
    <w:rsid w:val="00E155DA"/>
    <w:rsid w:val="00E203F6"/>
    <w:rsid w:val="00E20D72"/>
    <w:rsid w:val="00E20F0A"/>
    <w:rsid w:val="00E23006"/>
    <w:rsid w:val="00E23547"/>
    <w:rsid w:val="00E2419B"/>
    <w:rsid w:val="00E25656"/>
    <w:rsid w:val="00E260EE"/>
    <w:rsid w:val="00E263DC"/>
    <w:rsid w:val="00E26850"/>
    <w:rsid w:val="00E31C53"/>
    <w:rsid w:val="00E31E0A"/>
    <w:rsid w:val="00E32D3A"/>
    <w:rsid w:val="00E331CA"/>
    <w:rsid w:val="00E3352D"/>
    <w:rsid w:val="00E336BE"/>
    <w:rsid w:val="00E34B87"/>
    <w:rsid w:val="00E353C5"/>
    <w:rsid w:val="00E35A07"/>
    <w:rsid w:val="00E36A4D"/>
    <w:rsid w:val="00E36FA6"/>
    <w:rsid w:val="00E410EC"/>
    <w:rsid w:val="00E41F9D"/>
    <w:rsid w:val="00E4372B"/>
    <w:rsid w:val="00E43A14"/>
    <w:rsid w:val="00E43A21"/>
    <w:rsid w:val="00E45A9B"/>
    <w:rsid w:val="00E46077"/>
    <w:rsid w:val="00E4621E"/>
    <w:rsid w:val="00E463EA"/>
    <w:rsid w:val="00E51800"/>
    <w:rsid w:val="00E5225B"/>
    <w:rsid w:val="00E53511"/>
    <w:rsid w:val="00E539B2"/>
    <w:rsid w:val="00E54D64"/>
    <w:rsid w:val="00E553AD"/>
    <w:rsid w:val="00E559CE"/>
    <w:rsid w:val="00E5767F"/>
    <w:rsid w:val="00E57ED0"/>
    <w:rsid w:val="00E606E8"/>
    <w:rsid w:val="00E61AFE"/>
    <w:rsid w:val="00E62BD6"/>
    <w:rsid w:val="00E6311C"/>
    <w:rsid w:val="00E6761B"/>
    <w:rsid w:val="00E71CAA"/>
    <w:rsid w:val="00E74A27"/>
    <w:rsid w:val="00E752A7"/>
    <w:rsid w:val="00E75340"/>
    <w:rsid w:val="00E75802"/>
    <w:rsid w:val="00E76D66"/>
    <w:rsid w:val="00E77799"/>
    <w:rsid w:val="00E804D9"/>
    <w:rsid w:val="00E805E7"/>
    <w:rsid w:val="00E80F41"/>
    <w:rsid w:val="00E8108E"/>
    <w:rsid w:val="00E8128E"/>
    <w:rsid w:val="00E82AAA"/>
    <w:rsid w:val="00E831F2"/>
    <w:rsid w:val="00E8337D"/>
    <w:rsid w:val="00E83FE5"/>
    <w:rsid w:val="00E84174"/>
    <w:rsid w:val="00E84B65"/>
    <w:rsid w:val="00E84F30"/>
    <w:rsid w:val="00E855C8"/>
    <w:rsid w:val="00E8574B"/>
    <w:rsid w:val="00E85DD5"/>
    <w:rsid w:val="00E86273"/>
    <w:rsid w:val="00E8681A"/>
    <w:rsid w:val="00E868AB"/>
    <w:rsid w:val="00E86926"/>
    <w:rsid w:val="00E87486"/>
    <w:rsid w:val="00E87C5A"/>
    <w:rsid w:val="00E90AE7"/>
    <w:rsid w:val="00E917B7"/>
    <w:rsid w:val="00E92503"/>
    <w:rsid w:val="00E92E9C"/>
    <w:rsid w:val="00E93C32"/>
    <w:rsid w:val="00E94EE7"/>
    <w:rsid w:val="00E94EFA"/>
    <w:rsid w:val="00E95854"/>
    <w:rsid w:val="00E966EB"/>
    <w:rsid w:val="00E97535"/>
    <w:rsid w:val="00E9773B"/>
    <w:rsid w:val="00EA039C"/>
    <w:rsid w:val="00EA0F43"/>
    <w:rsid w:val="00EA3CA5"/>
    <w:rsid w:val="00EA437B"/>
    <w:rsid w:val="00EA4474"/>
    <w:rsid w:val="00EA6048"/>
    <w:rsid w:val="00EA6C03"/>
    <w:rsid w:val="00EA6EDA"/>
    <w:rsid w:val="00EA6F86"/>
    <w:rsid w:val="00EA7DCA"/>
    <w:rsid w:val="00EB063D"/>
    <w:rsid w:val="00EB24C3"/>
    <w:rsid w:val="00EB37BE"/>
    <w:rsid w:val="00EB4828"/>
    <w:rsid w:val="00EB4F87"/>
    <w:rsid w:val="00EB5038"/>
    <w:rsid w:val="00EB63AF"/>
    <w:rsid w:val="00EB670B"/>
    <w:rsid w:val="00EC089D"/>
    <w:rsid w:val="00EC0F1B"/>
    <w:rsid w:val="00EC1818"/>
    <w:rsid w:val="00EC3310"/>
    <w:rsid w:val="00EC3EDE"/>
    <w:rsid w:val="00EC42F6"/>
    <w:rsid w:val="00EC4BA2"/>
    <w:rsid w:val="00EC51D8"/>
    <w:rsid w:val="00EC5631"/>
    <w:rsid w:val="00EC6439"/>
    <w:rsid w:val="00EC6552"/>
    <w:rsid w:val="00EC71E5"/>
    <w:rsid w:val="00EC76D1"/>
    <w:rsid w:val="00EC78CF"/>
    <w:rsid w:val="00EC7E93"/>
    <w:rsid w:val="00ED0D4A"/>
    <w:rsid w:val="00ED0E58"/>
    <w:rsid w:val="00ED129C"/>
    <w:rsid w:val="00ED1456"/>
    <w:rsid w:val="00ED1853"/>
    <w:rsid w:val="00ED1B50"/>
    <w:rsid w:val="00ED1E2A"/>
    <w:rsid w:val="00ED21D8"/>
    <w:rsid w:val="00ED2B20"/>
    <w:rsid w:val="00ED32E7"/>
    <w:rsid w:val="00ED3958"/>
    <w:rsid w:val="00ED3BD9"/>
    <w:rsid w:val="00ED416F"/>
    <w:rsid w:val="00ED5567"/>
    <w:rsid w:val="00ED6628"/>
    <w:rsid w:val="00ED7082"/>
    <w:rsid w:val="00EE1EB3"/>
    <w:rsid w:val="00EE20F9"/>
    <w:rsid w:val="00EE2C1A"/>
    <w:rsid w:val="00EE2D55"/>
    <w:rsid w:val="00EE2FCD"/>
    <w:rsid w:val="00EE314A"/>
    <w:rsid w:val="00EE3BB7"/>
    <w:rsid w:val="00EE3DC3"/>
    <w:rsid w:val="00EE59D7"/>
    <w:rsid w:val="00EE6427"/>
    <w:rsid w:val="00EE6C3B"/>
    <w:rsid w:val="00EE730F"/>
    <w:rsid w:val="00EE7408"/>
    <w:rsid w:val="00EF09C1"/>
    <w:rsid w:val="00EF0BD4"/>
    <w:rsid w:val="00EF0FC2"/>
    <w:rsid w:val="00EF122B"/>
    <w:rsid w:val="00EF1831"/>
    <w:rsid w:val="00EF19A0"/>
    <w:rsid w:val="00EF1A30"/>
    <w:rsid w:val="00EF20F1"/>
    <w:rsid w:val="00EF2E14"/>
    <w:rsid w:val="00EF45F8"/>
    <w:rsid w:val="00EF4B63"/>
    <w:rsid w:val="00EF54AA"/>
    <w:rsid w:val="00EF5677"/>
    <w:rsid w:val="00EF67ED"/>
    <w:rsid w:val="00EF7247"/>
    <w:rsid w:val="00EF72CB"/>
    <w:rsid w:val="00EF755F"/>
    <w:rsid w:val="00EF78D6"/>
    <w:rsid w:val="00F012B4"/>
    <w:rsid w:val="00F0312C"/>
    <w:rsid w:val="00F06447"/>
    <w:rsid w:val="00F06502"/>
    <w:rsid w:val="00F07A44"/>
    <w:rsid w:val="00F10155"/>
    <w:rsid w:val="00F10FA9"/>
    <w:rsid w:val="00F11D29"/>
    <w:rsid w:val="00F12228"/>
    <w:rsid w:val="00F13C29"/>
    <w:rsid w:val="00F13C5A"/>
    <w:rsid w:val="00F14112"/>
    <w:rsid w:val="00F142FC"/>
    <w:rsid w:val="00F153FD"/>
    <w:rsid w:val="00F1621F"/>
    <w:rsid w:val="00F17E48"/>
    <w:rsid w:val="00F24A70"/>
    <w:rsid w:val="00F24F9F"/>
    <w:rsid w:val="00F250BF"/>
    <w:rsid w:val="00F25384"/>
    <w:rsid w:val="00F25CE9"/>
    <w:rsid w:val="00F2779C"/>
    <w:rsid w:val="00F27E21"/>
    <w:rsid w:val="00F315AF"/>
    <w:rsid w:val="00F3173A"/>
    <w:rsid w:val="00F31A0D"/>
    <w:rsid w:val="00F3316E"/>
    <w:rsid w:val="00F331E0"/>
    <w:rsid w:val="00F35955"/>
    <w:rsid w:val="00F35E0A"/>
    <w:rsid w:val="00F36B85"/>
    <w:rsid w:val="00F37DAC"/>
    <w:rsid w:val="00F403E2"/>
    <w:rsid w:val="00F40BB9"/>
    <w:rsid w:val="00F418BE"/>
    <w:rsid w:val="00F41CB7"/>
    <w:rsid w:val="00F422FB"/>
    <w:rsid w:val="00F4248B"/>
    <w:rsid w:val="00F44F4A"/>
    <w:rsid w:val="00F4540E"/>
    <w:rsid w:val="00F45B7F"/>
    <w:rsid w:val="00F45DD2"/>
    <w:rsid w:val="00F46531"/>
    <w:rsid w:val="00F473E0"/>
    <w:rsid w:val="00F47585"/>
    <w:rsid w:val="00F47E07"/>
    <w:rsid w:val="00F52466"/>
    <w:rsid w:val="00F52C4F"/>
    <w:rsid w:val="00F5613B"/>
    <w:rsid w:val="00F5646F"/>
    <w:rsid w:val="00F56886"/>
    <w:rsid w:val="00F5699D"/>
    <w:rsid w:val="00F5750F"/>
    <w:rsid w:val="00F60C7C"/>
    <w:rsid w:val="00F60F38"/>
    <w:rsid w:val="00F61403"/>
    <w:rsid w:val="00F61C93"/>
    <w:rsid w:val="00F620C4"/>
    <w:rsid w:val="00F632A8"/>
    <w:rsid w:val="00F63E49"/>
    <w:rsid w:val="00F646A6"/>
    <w:rsid w:val="00F65296"/>
    <w:rsid w:val="00F652FA"/>
    <w:rsid w:val="00F65C5B"/>
    <w:rsid w:val="00F65F03"/>
    <w:rsid w:val="00F6691E"/>
    <w:rsid w:val="00F67297"/>
    <w:rsid w:val="00F70973"/>
    <w:rsid w:val="00F72C8A"/>
    <w:rsid w:val="00F73532"/>
    <w:rsid w:val="00F763DC"/>
    <w:rsid w:val="00F77111"/>
    <w:rsid w:val="00F80025"/>
    <w:rsid w:val="00F80970"/>
    <w:rsid w:val="00F80EB8"/>
    <w:rsid w:val="00F8128F"/>
    <w:rsid w:val="00F82189"/>
    <w:rsid w:val="00F835C4"/>
    <w:rsid w:val="00F8491D"/>
    <w:rsid w:val="00F849CD"/>
    <w:rsid w:val="00F85395"/>
    <w:rsid w:val="00F86D02"/>
    <w:rsid w:val="00F90726"/>
    <w:rsid w:val="00F908BB"/>
    <w:rsid w:val="00F91064"/>
    <w:rsid w:val="00F93EDF"/>
    <w:rsid w:val="00F942F5"/>
    <w:rsid w:val="00F951FC"/>
    <w:rsid w:val="00F96802"/>
    <w:rsid w:val="00F97034"/>
    <w:rsid w:val="00F970CA"/>
    <w:rsid w:val="00F97D66"/>
    <w:rsid w:val="00FA00BB"/>
    <w:rsid w:val="00FA138E"/>
    <w:rsid w:val="00FA1669"/>
    <w:rsid w:val="00FA24CE"/>
    <w:rsid w:val="00FA2EEC"/>
    <w:rsid w:val="00FA4269"/>
    <w:rsid w:val="00FA4DB3"/>
    <w:rsid w:val="00FA55FA"/>
    <w:rsid w:val="00FA576D"/>
    <w:rsid w:val="00FA60AA"/>
    <w:rsid w:val="00FA61B0"/>
    <w:rsid w:val="00FA7F22"/>
    <w:rsid w:val="00FB1962"/>
    <w:rsid w:val="00FB1C13"/>
    <w:rsid w:val="00FB3689"/>
    <w:rsid w:val="00FB3BF1"/>
    <w:rsid w:val="00FB3F75"/>
    <w:rsid w:val="00FB4114"/>
    <w:rsid w:val="00FB4FE9"/>
    <w:rsid w:val="00FB65FB"/>
    <w:rsid w:val="00FC1C0A"/>
    <w:rsid w:val="00FC2F12"/>
    <w:rsid w:val="00FC4A6A"/>
    <w:rsid w:val="00FC6521"/>
    <w:rsid w:val="00FD044D"/>
    <w:rsid w:val="00FD1FA5"/>
    <w:rsid w:val="00FD2869"/>
    <w:rsid w:val="00FD67CE"/>
    <w:rsid w:val="00FE010C"/>
    <w:rsid w:val="00FE023F"/>
    <w:rsid w:val="00FE0A9F"/>
    <w:rsid w:val="00FE189C"/>
    <w:rsid w:val="00FE3387"/>
    <w:rsid w:val="00FE4B94"/>
    <w:rsid w:val="00FE53FC"/>
    <w:rsid w:val="00FE566D"/>
    <w:rsid w:val="00FE6108"/>
    <w:rsid w:val="00FE6DB6"/>
    <w:rsid w:val="00FE6E89"/>
    <w:rsid w:val="00FE78C6"/>
    <w:rsid w:val="00FE7B97"/>
    <w:rsid w:val="00FF0925"/>
    <w:rsid w:val="00FF196B"/>
    <w:rsid w:val="00FF1C14"/>
    <w:rsid w:val="00FF266B"/>
    <w:rsid w:val="00FF308F"/>
    <w:rsid w:val="00FF357B"/>
    <w:rsid w:val="00FF37B7"/>
    <w:rsid w:val="00FF43AE"/>
    <w:rsid w:val="00FF551A"/>
    <w:rsid w:val="010F3B4F"/>
    <w:rsid w:val="01206E29"/>
    <w:rsid w:val="01437C9C"/>
    <w:rsid w:val="014A102B"/>
    <w:rsid w:val="015B076E"/>
    <w:rsid w:val="016519C1"/>
    <w:rsid w:val="01A76A51"/>
    <w:rsid w:val="01B667A8"/>
    <w:rsid w:val="02054EED"/>
    <w:rsid w:val="022C5401"/>
    <w:rsid w:val="022E44A8"/>
    <w:rsid w:val="02303DD4"/>
    <w:rsid w:val="02304E8A"/>
    <w:rsid w:val="024205C1"/>
    <w:rsid w:val="0255037F"/>
    <w:rsid w:val="02676EEA"/>
    <w:rsid w:val="027D18EE"/>
    <w:rsid w:val="02900CBF"/>
    <w:rsid w:val="02A31EB9"/>
    <w:rsid w:val="02B80AA3"/>
    <w:rsid w:val="02F84C2F"/>
    <w:rsid w:val="03100052"/>
    <w:rsid w:val="033E09E9"/>
    <w:rsid w:val="034355AE"/>
    <w:rsid w:val="03561459"/>
    <w:rsid w:val="03847841"/>
    <w:rsid w:val="03C3204C"/>
    <w:rsid w:val="03D836C1"/>
    <w:rsid w:val="03E5503B"/>
    <w:rsid w:val="04123CC8"/>
    <w:rsid w:val="04241590"/>
    <w:rsid w:val="04536121"/>
    <w:rsid w:val="04543EC7"/>
    <w:rsid w:val="046F5F4C"/>
    <w:rsid w:val="047F75C5"/>
    <w:rsid w:val="05316E30"/>
    <w:rsid w:val="053D7988"/>
    <w:rsid w:val="054B711F"/>
    <w:rsid w:val="055C0AB9"/>
    <w:rsid w:val="057A4ABF"/>
    <w:rsid w:val="058362CC"/>
    <w:rsid w:val="05906162"/>
    <w:rsid w:val="05A570A2"/>
    <w:rsid w:val="05F01560"/>
    <w:rsid w:val="05F45A09"/>
    <w:rsid w:val="05FE126B"/>
    <w:rsid w:val="062D6137"/>
    <w:rsid w:val="063C25E1"/>
    <w:rsid w:val="066F5090"/>
    <w:rsid w:val="068E1EF6"/>
    <w:rsid w:val="06AC63B9"/>
    <w:rsid w:val="06FC0882"/>
    <w:rsid w:val="0720506B"/>
    <w:rsid w:val="0790148E"/>
    <w:rsid w:val="07922589"/>
    <w:rsid w:val="07C64D36"/>
    <w:rsid w:val="084727B9"/>
    <w:rsid w:val="08837D5C"/>
    <w:rsid w:val="088F7A1A"/>
    <w:rsid w:val="08B07D5B"/>
    <w:rsid w:val="08DD1482"/>
    <w:rsid w:val="08FA1588"/>
    <w:rsid w:val="09047ACD"/>
    <w:rsid w:val="093C4FAD"/>
    <w:rsid w:val="0941109D"/>
    <w:rsid w:val="096A2F4C"/>
    <w:rsid w:val="09750C0F"/>
    <w:rsid w:val="09880D71"/>
    <w:rsid w:val="09A331F9"/>
    <w:rsid w:val="09E8112B"/>
    <w:rsid w:val="09F70D4A"/>
    <w:rsid w:val="0A110F7A"/>
    <w:rsid w:val="0A3960E0"/>
    <w:rsid w:val="0A6545DC"/>
    <w:rsid w:val="0A8B7AFA"/>
    <w:rsid w:val="0A951569"/>
    <w:rsid w:val="0ADD081A"/>
    <w:rsid w:val="0AEC4F01"/>
    <w:rsid w:val="0B1701D1"/>
    <w:rsid w:val="0B1C1414"/>
    <w:rsid w:val="0B424B21"/>
    <w:rsid w:val="0B586302"/>
    <w:rsid w:val="0B6131F9"/>
    <w:rsid w:val="0B8D770B"/>
    <w:rsid w:val="0BA63302"/>
    <w:rsid w:val="0BBF197C"/>
    <w:rsid w:val="0BE45BD8"/>
    <w:rsid w:val="0BED4A47"/>
    <w:rsid w:val="0BF9614F"/>
    <w:rsid w:val="0C127CF6"/>
    <w:rsid w:val="0C18633A"/>
    <w:rsid w:val="0C643E55"/>
    <w:rsid w:val="0C84236A"/>
    <w:rsid w:val="0CAD0A26"/>
    <w:rsid w:val="0CB00CC2"/>
    <w:rsid w:val="0CCC6A87"/>
    <w:rsid w:val="0D3039BB"/>
    <w:rsid w:val="0D374B59"/>
    <w:rsid w:val="0D3D3E2A"/>
    <w:rsid w:val="0D920A1E"/>
    <w:rsid w:val="0DAA3099"/>
    <w:rsid w:val="0DB72191"/>
    <w:rsid w:val="0DC76478"/>
    <w:rsid w:val="0DD81004"/>
    <w:rsid w:val="0DE16813"/>
    <w:rsid w:val="0E1837F4"/>
    <w:rsid w:val="0E2724F3"/>
    <w:rsid w:val="0E272AB9"/>
    <w:rsid w:val="0E451EA1"/>
    <w:rsid w:val="0E4F459D"/>
    <w:rsid w:val="0E7A6E8D"/>
    <w:rsid w:val="0E8D070E"/>
    <w:rsid w:val="0E8F7D1F"/>
    <w:rsid w:val="0E9953A0"/>
    <w:rsid w:val="0EBB3F4C"/>
    <w:rsid w:val="0EBB78F4"/>
    <w:rsid w:val="0ED66F51"/>
    <w:rsid w:val="0EE44BE9"/>
    <w:rsid w:val="0EF51273"/>
    <w:rsid w:val="0F265AC5"/>
    <w:rsid w:val="0F271BAF"/>
    <w:rsid w:val="0F653A83"/>
    <w:rsid w:val="0F995506"/>
    <w:rsid w:val="0F9D5DB2"/>
    <w:rsid w:val="0FE65C0D"/>
    <w:rsid w:val="10616D58"/>
    <w:rsid w:val="10645539"/>
    <w:rsid w:val="108034F7"/>
    <w:rsid w:val="109E4345"/>
    <w:rsid w:val="10B1077E"/>
    <w:rsid w:val="1102722C"/>
    <w:rsid w:val="110B7533"/>
    <w:rsid w:val="11335E63"/>
    <w:rsid w:val="113B273E"/>
    <w:rsid w:val="11560208"/>
    <w:rsid w:val="11625F1D"/>
    <w:rsid w:val="116E7EE7"/>
    <w:rsid w:val="11867335"/>
    <w:rsid w:val="118B1666"/>
    <w:rsid w:val="11AB5BDF"/>
    <w:rsid w:val="11BA7B07"/>
    <w:rsid w:val="11BF59BB"/>
    <w:rsid w:val="1230741D"/>
    <w:rsid w:val="12510924"/>
    <w:rsid w:val="125E1E70"/>
    <w:rsid w:val="127B2E5B"/>
    <w:rsid w:val="12EB176A"/>
    <w:rsid w:val="12FE3A23"/>
    <w:rsid w:val="13163280"/>
    <w:rsid w:val="133B7A1B"/>
    <w:rsid w:val="13893BA7"/>
    <w:rsid w:val="13AC40F0"/>
    <w:rsid w:val="13CF716E"/>
    <w:rsid w:val="140A109B"/>
    <w:rsid w:val="143A4F2F"/>
    <w:rsid w:val="148F2A28"/>
    <w:rsid w:val="14975EDD"/>
    <w:rsid w:val="14B60A59"/>
    <w:rsid w:val="14DD304E"/>
    <w:rsid w:val="151B4D60"/>
    <w:rsid w:val="15255829"/>
    <w:rsid w:val="153346FC"/>
    <w:rsid w:val="153711CC"/>
    <w:rsid w:val="15426DEC"/>
    <w:rsid w:val="15802E15"/>
    <w:rsid w:val="158B322B"/>
    <w:rsid w:val="15A35C8E"/>
    <w:rsid w:val="15A91713"/>
    <w:rsid w:val="15DA720E"/>
    <w:rsid w:val="161276CC"/>
    <w:rsid w:val="168C5AEE"/>
    <w:rsid w:val="168E3310"/>
    <w:rsid w:val="16CC350B"/>
    <w:rsid w:val="17004038"/>
    <w:rsid w:val="17EA2C22"/>
    <w:rsid w:val="17EE1757"/>
    <w:rsid w:val="1840063A"/>
    <w:rsid w:val="187C5B16"/>
    <w:rsid w:val="18893BAC"/>
    <w:rsid w:val="18914117"/>
    <w:rsid w:val="18B3594F"/>
    <w:rsid w:val="18C750EB"/>
    <w:rsid w:val="18E13BCB"/>
    <w:rsid w:val="18F64A8A"/>
    <w:rsid w:val="1908590B"/>
    <w:rsid w:val="19087BBE"/>
    <w:rsid w:val="190D676E"/>
    <w:rsid w:val="192F70D4"/>
    <w:rsid w:val="194D28A0"/>
    <w:rsid w:val="19C77768"/>
    <w:rsid w:val="19CB1266"/>
    <w:rsid w:val="19DB09FF"/>
    <w:rsid w:val="19E41BC5"/>
    <w:rsid w:val="1A007C76"/>
    <w:rsid w:val="1A155C33"/>
    <w:rsid w:val="1A584885"/>
    <w:rsid w:val="1AA016CC"/>
    <w:rsid w:val="1AB23A71"/>
    <w:rsid w:val="1AD6374C"/>
    <w:rsid w:val="1AF170D8"/>
    <w:rsid w:val="1AF35A9F"/>
    <w:rsid w:val="1AF5284A"/>
    <w:rsid w:val="1B0342CC"/>
    <w:rsid w:val="1B2349B5"/>
    <w:rsid w:val="1B812F99"/>
    <w:rsid w:val="1BB018A1"/>
    <w:rsid w:val="1BE10324"/>
    <w:rsid w:val="1C056524"/>
    <w:rsid w:val="1C2B1A61"/>
    <w:rsid w:val="1C35387B"/>
    <w:rsid w:val="1C366EC8"/>
    <w:rsid w:val="1C473093"/>
    <w:rsid w:val="1C7C42DE"/>
    <w:rsid w:val="1C8F25F8"/>
    <w:rsid w:val="1CC40B0B"/>
    <w:rsid w:val="1CE92B76"/>
    <w:rsid w:val="1D2B3667"/>
    <w:rsid w:val="1D3E15EC"/>
    <w:rsid w:val="1D643905"/>
    <w:rsid w:val="1D81772B"/>
    <w:rsid w:val="1D8452C1"/>
    <w:rsid w:val="1D8C2C2E"/>
    <w:rsid w:val="1D907DEF"/>
    <w:rsid w:val="1D9D1546"/>
    <w:rsid w:val="1DA37673"/>
    <w:rsid w:val="1DA84CB7"/>
    <w:rsid w:val="1DAE0BA6"/>
    <w:rsid w:val="1DC63996"/>
    <w:rsid w:val="1DD1593C"/>
    <w:rsid w:val="1E3D7AF5"/>
    <w:rsid w:val="1E403DBE"/>
    <w:rsid w:val="1EDB5DE1"/>
    <w:rsid w:val="1F0010E0"/>
    <w:rsid w:val="1F136E4B"/>
    <w:rsid w:val="1F240CB5"/>
    <w:rsid w:val="1FAF4A23"/>
    <w:rsid w:val="1FB82E87"/>
    <w:rsid w:val="1FD32E5C"/>
    <w:rsid w:val="2002736A"/>
    <w:rsid w:val="20303B72"/>
    <w:rsid w:val="204C302D"/>
    <w:rsid w:val="205D447F"/>
    <w:rsid w:val="2067156E"/>
    <w:rsid w:val="206A2A44"/>
    <w:rsid w:val="20857532"/>
    <w:rsid w:val="20A165BD"/>
    <w:rsid w:val="20A83C1A"/>
    <w:rsid w:val="20EB63EB"/>
    <w:rsid w:val="2106743D"/>
    <w:rsid w:val="21213823"/>
    <w:rsid w:val="21293DBB"/>
    <w:rsid w:val="215745DD"/>
    <w:rsid w:val="218E2416"/>
    <w:rsid w:val="21B50629"/>
    <w:rsid w:val="21BC6236"/>
    <w:rsid w:val="21E07116"/>
    <w:rsid w:val="21F77F04"/>
    <w:rsid w:val="21FC54F5"/>
    <w:rsid w:val="22726DE9"/>
    <w:rsid w:val="2285707A"/>
    <w:rsid w:val="2292394B"/>
    <w:rsid w:val="22934188"/>
    <w:rsid w:val="22C71A27"/>
    <w:rsid w:val="22E806F4"/>
    <w:rsid w:val="2315610E"/>
    <w:rsid w:val="23205B42"/>
    <w:rsid w:val="234E1790"/>
    <w:rsid w:val="235839AB"/>
    <w:rsid w:val="236271B7"/>
    <w:rsid w:val="23967343"/>
    <w:rsid w:val="239A78C3"/>
    <w:rsid w:val="23DC1360"/>
    <w:rsid w:val="23E920AE"/>
    <w:rsid w:val="23FC2F55"/>
    <w:rsid w:val="24013925"/>
    <w:rsid w:val="24014C67"/>
    <w:rsid w:val="243454F7"/>
    <w:rsid w:val="2446383C"/>
    <w:rsid w:val="244A0005"/>
    <w:rsid w:val="246A716A"/>
    <w:rsid w:val="24B10905"/>
    <w:rsid w:val="24CB5080"/>
    <w:rsid w:val="24F117D8"/>
    <w:rsid w:val="251407B4"/>
    <w:rsid w:val="252B29D9"/>
    <w:rsid w:val="255D4632"/>
    <w:rsid w:val="25D85ADB"/>
    <w:rsid w:val="263D6704"/>
    <w:rsid w:val="2694227D"/>
    <w:rsid w:val="2699311D"/>
    <w:rsid w:val="27034A7C"/>
    <w:rsid w:val="271424E7"/>
    <w:rsid w:val="27295280"/>
    <w:rsid w:val="274E41D6"/>
    <w:rsid w:val="276B0AF6"/>
    <w:rsid w:val="277B168E"/>
    <w:rsid w:val="2787343B"/>
    <w:rsid w:val="28013942"/>
    <w:rsid w:val="281422A9"/>
    <w:rsid w:val="281B6AF6"/>
    <w:rsid w:val="28666A60"/>
    <w:rsid w:val="286E3AAC"/>
    <w:rsid w:val="289439CA"/>
    <w:rsid w:val="289F1006"/>
    <w:rsid w:val="28D41056"/>
    <w:rsid w:val="28FF17EF"/>
    <w:rsid w:val="292756D2"/>
    <w:rsid w:val="292813A2"/>
    <w:rsid w:val="292C0E92"/>
    <w:rsid w:val="294572CE"/>
    <w:rsid w:val="29514455"/>
    <w:rsid w:val="29567CBD"/>
    <w:rsid w:val="29634188"/>
    <w:rsid w:val="2964687E"/>
    <w:rsid w:val="29684C67"/>
    <w:rsid w:val="29A66528"/>
    <w:rsid w:val="2A0D084E"/>
    <w:rsid w:val="2A10721D"/>
    <w:rsid w:val="2A3172DC"/>
    <w:rsid w:val="2A3328EA"/>
    <w:rsid w:val="2A455ED8"/>
    <w:rsid w:val="2A80338B"/>
    <w:rsid w:val="2A81361B"/>
    <w:rsid w:val="2A854C2F"/>
    <w:rsid w:val="2A8A6868"/>
    <w:rsid w:val="2AAB664C"/>
    <w:rsid w:val="2AD22651"/>
    <w:rsid w:val="2AF754D0"/>
    <w:rsid w:val="2B0577A6"/>
    <w:rsid w:val="2B660D25"/>
    <w:rsid w:val="2B6B54A5"/>
    <w:rsid w:val="2B6D57B0"/>
    <w:rsid w:val="2B977BFF"/>
    <w:rsid w:val="2BB92785"/>
    <w:rsid w:val="2BD23AA9"/>
    <w:rsid w:val="2BE9306B"/>
    <w:rsid w:val="2C011258"/>
    <w:rsid w:val="2C3A3494"/>
    <w:rsid w:val="2C492CC7"/>
    <w:rsid w:val="2C4F01C5"/>
    <w:rsid w:val="2C611AF0"/>
    <w:rsid w:val="2C6A0BFA"/>
    <w:rsid w:val="2C6E3E3C"/>
    <w:rsid w:val="2C734E84"/>
    <w:rsid w:val="2C97274A"/>
    <w:rsid w:val="2C994266"/>
    <w:rsid w:val="2CA43435"/>
    <w:rsid w:val="2CA86A82"/>
    <w:rsid w:val="2CBD192A"/>
    <w:rsid w:val="2CC808CC"/>
    <w:rsid w:val="2CD52468"/>
    <w:rsid w:val="2CE44516"/>
    <w:rsid w:val="2D020280"/>
    <w:rsid w:val="2D0E4090"/>
    <w:rsid w:val="2D301FE3"/>
    <w:rsid w:val="2D3A0C8E"/>
    <w:rsid w:val="2D4F2CAF"/>
    <w:rsid w:val="2D5262DB"/>
    <w:rsid w:val="2D731129"/>
    <w:rsid w:val="2D83454B"/>
    <w:rsid w:val="2DB04EBE"/>
    <w:rsid w:val="2DBA2C20"/>
    <w:rsid w:val="2DF6381D"/>
    <w:rsid w:val="2E000CA4"/>
    <w:rsid w:val="2E08642D"/>
    <w:rsid w:val="2E2C3E41"/>
    <w:rsid w:val="2E347E5E"/>
    <w:rsid w:val="2E431C71"/>
    <w:rsid w:val="2EAB0751"/>
    <w:rsid w:val="2EC93CF8"/>
    <w:rsid w:val="2EE43FBD"/>
    <w:rsid w:val="2EF512EF"/>
    <w:rsid w:val="2F2303A5"/>
    <w:rsid w:val="2F2345B2"/>
    <w:rsid w:val="2F6B14B4"/>
    <w:rsid w:val="2FC5794B"/>
    <w:rsid w:val="2FD940DA"/>
    <w:rsid w:val="2FF43D8C"/>
    <w:rsid w:val="2FFF10AF"/>
    <w:rsid w:val="301E4FFC"/>
    <w:rsid w:val="30271680"/>
    <w:rsid w:val="30294354"/>
    <w:rsid w:val="30365A80"/>
    <w:rsid w:val="307105A7"/>
    <w:rsid w:val="307511A7"/>
    <w:rsid w:val="30827627"/>
    <w:rsid w:val="308A649E"/>
    <w:rsid w:val="30CA4AA4"/>
    <w:rsid w:val="30D71E27"/>
    <w:rsid w:val="30DF4A3C"/>
    <w:rsid w:val="30F35053"/>
    <w:rsid w:val="31012C04"/>
    <w:rsid w:val="310743D8"/>
    <w:rsid w:val="315B0569"/>
    <w:rsid w:val="318E0E52"/>
    <w:rsid w:val="31BD3E31"/>
    <w:rsid w:val="31EE7CEC"/>
    <w:rsid w:val="31FC184E"/>
    <w:rsid w:val="3234700A"/>
    <w:rsid w:val="326B3DBE"/>
    <w:rsid w:val="327F0EB5"/>
    <w:rsid w:val="32886447"/>
    <w:rsid w:val="32A0644D"/>
    <w:rsid w:val="32DD6DE5"/>
    <w:rsid w:val="33092201"/>
    <w:rsid w:val="33104889"/>
    <w:rsid w:val="33123514"/>
    <w:rsid w:val="332A1A21"/>
    <w:rsid w:val="33365CF7"/>
    <w:rsid w:val="334C03C7"/>
    <w:rsid w:val="337D3F2D"/>
    <w:rsid w:val="33952235"/>
    <w:rsid w:val="33995376"/>
    <w:rsid w:val="33B4426B"/>
    <w:rsid w:val="33BA1E30"/>
    <w:rsid w:val="33DD09F5"/>
    <w:rsid w:val="340B2524"/>
    <w:rsid w:val="34200B11"/>
    <w:rsid w:val="34313801"/>
    <w:rsid w:val="344146FA"/>
    <w:rsid w:val="34546817"/>
    <w:rsid w:val="34684D49"/>
    <w:rsid w:val="347410F3"/>
    <w:rsid w:val="347542C2"/>
    <w:rsid w:val="347A7864"/>
    <w:rsid w:val="348363B7"/>
    <w:rsid w:val="34882EF7"/>
    <w:rsid w:val="349F1221"/>
    <w:rsid w:val="34A12946"/>
    <w:rsid w:val="34A91596"/>
    <w:rsid w:val="34CF5F60"/>
    <w:rsid w:val="34D15006"/>
    <w:rsid w:val="34DB0A44"/>
    <w:rsid w:val="34E0563C"/>
    <w:rsid w:val="35134CB4"/>
    <w:rsid w:val="3518718F"/>
    <w:rsid w:val="351B1F37"/>
    <w:rsid w:val="35583A19"/>
    <w:rsid w:val="355C2DAD"/>
    <w:rsid w:val="35D244E9"/>
    <w:rsid w:val="35F4081D"/>
    <w:rsid w:val="360F267E"/>
    <w:rsid w:val="360F36CE"/>
    <w:rsid w:val="361C5DEB"/>
    <w:rsid w:val="36266C69"/>
    <w:rsid w:val="362D755F"/>
    <w:rsid w:val="36442447"/>
    <w:rsid w:val="36747218"/>
    <w:rsid w:val="367D4D9D"/>
    <w:rsid w:val="36AA0128"/>
    <w:rsid w:val="36B51425"/>
    <w:rsid w:val="37294C63"/>
    <w:rsid w:val="372F79AA"/>
    <w:rsid w:val="373E6D06"/>
    <w:rsid w:val="376A69C0"/>
    <w:rsid w:val="379C2DB5"/>
    <w:rsid w:val="37B71F49"/>
    <w:rsid w:val="37C16563"/>
    <w:rsid w:val="37EC1986"/>
    <w:rsid w:val="37EE7676"/>
    <w:rsid w:val="381B720D"/>
    <w:rsid w:val="38365594"/>
    <w:rsid w:val="38371B70"/>
    <w:rsid w:val="385D5DEF"/>
    <w:rsid w:val="387734D0"/>
    <w:rsid w:val="38892579"/>
    <w:rsid w:val="38AF73EA"/>
    <w:rsid w:val="38B710E6"/>
    <w:rsid w:val="38B75E1C"/>
    <w:rsid w:val="38DF5E2F"/>
    <w:rsid w:val="38F372D7"/>
    <w:rsid w:val="38F65AC3"/>
    <w:rsid w:val="38FB2E9F"/>
    <w:rsid w:val="38FC670D"/>
    <w:rsid w:val="39396CB4"/>
    <w:rsid w:val="3947339D"/>
    <w:rsid w:val="39561614"/>
    <w:rsid w:val="395E1D1A"/>
    <w:rsid w:val="39622FFD"/>
    <w:rsid w:val="39633674"/>
    <w:rsid w:val="39754273"/>
    <w:rsid w:val="399E4941"/>
    <w:rsid w:val="39A04BBE"/>
    <w:rsid w:val="39DC10A9"/>
    <w:rsid w:val="39E65592"/>
    <w:rsid w:val="39EE38A2"/>
    <w:rsid w:val="39F864C5"/>
    <w:rsid w:val="3A296D28"/>
    <w:rsid w:val="3A371445"/>
    <w:rsid w:val="3A5E6F6F"/>
    <w:rsid w:val="3A6C5593"/>
    <w:rsid w:val="3A6E013C"/>
    <w:rsid w:val="3A7E20F2"/>
    <w:rsid w:val="3A943221"/>
    <w:rsid w:val="3ABE3914"/>
    <w:rsid w:val="3AE323F3"/>
    <w:rsid w:val="3B0E72EA"/>
    <w:rsid w:val="3B2A68FB"/>
    <w:rsid w:val="3B3819C2"/>
    <w:rsid w:val="3B492FEA"/>
    <w:rsid w:val="3B6C26C0"/>
    <w:rsid w:val="3B844B5E"/>
    <w:rsid w:val="3BA51889"/>
    <w:rsid w:val="3BB46DB6"/>
    <w:rsid w:val="3BF7201A"/>
    <w:rsid w:val="3C1F4F9C"/>
    <w:rsid w:val="3C2B11ED"/>
    <w:rsid w:val="3C3141EA"/>
    <w:rsid w:val="3C342A76"/>
    <w:rsid w:val="3C420EB7"/>
    <w:rsid w:val="3CDE48DA"/>
    <w:rsid w:val="3D197343"/>
    <w:rsid w:val="3D235CB1"/>
    <w:rsid w:val="3D4E5423"/>
    <w:rsid w:val="3D6956C1"/>
    <w:rsid w:val="3D854C41"/>
    <w:rsid w:val="3D9E1B59"/>
    <w:rsid w:val="3DD77F4E"/>
    <w:rsid w:val="3DDD134C"/>
    <w:rsid w:val="3E042B79"/>
    <w:rsid w:val="3E492796"/>
    <w:rsid w:val="3E565E71"/>
    <w:rsid w:val="3E62093C"/>
    <w:rsid w:val="3E7336B7"/>
    <w:rsid w:val="3E7964D0"/>
    <w:rsid w:val="3EA21F11"/>
    <w:rsid w:val="3EB968CD"/>
    <w:rsid w:val="3ED251C4"/>
    <w:rsid w:val="3EE15885"/>
    <w:rsid w:val="3F656A54"/>
    <w:rsid w:val="3F6D59E4"/>
    <w:rsid w:val="3F93536F"/>
    <w:rsid w:val="3F9A45A3"/>
    <w:rsid w:val="3FA225F5"/>
    <w:rsid w:val="3FAF05CC"/>
    <w:rsid w:val="3FAF7FC8"/>
    <w:rsid w:val="40156D36"/>
    <w:rsid w:val="402D2BC5"/>
    <w:rsid w:val="40351191"/>
    <w:rsid w:val="40621B84"/>
    <w:rsid w:val="407A02DD"/>
    <w:rsid w:val="4090704B"/>
    <w:rsid w:val="40A9471F"/>
    <w:rsid w:val="40C4675C"/>
    <w:rsid w:val="40C93CD0"/>
    <w:rsid w:val="40DE257C"/>
    <w:rsid w:val="40ED6D01"/>
    <w:rsid w:val="411A6357"/>
    <w:rsid w:val="41287C94"/>
    <w:rsid w:val="41540B2E"/>
    <w:rsid w:val="415B55CC"/>
    <w:rsid w:val="417268CB"/>
    <w:rsid w:val="418724E5"/>
    <w:rsid w:val="41973787"/>
    <w:rsid w:val="41AA19BC"/>
    <w:rsid w:val="41D53F72"/>
    <w:rsid w:val="4214206C"/>
    <w:rsid w:val="42541DC7"/>
    <w:rsid w:val="427277C5"/>
    <w:rsid w:val="42997141"/>
    <w:rsid w:val="42A43512"/>
    <w:rsid w:val="42A766EA"/>
    <w:rsid w:val="42E6219E"/>
    <w:rsid w:val="43196087"/>
    <w:rsid w:val="43284021"/>
    <w:rsid w:val="432E715D"/>
    <w:rsid w:val="43591094"/>
    <w:rsid w:val="437B1C70"/>
    <w:rsid w:val="43B3510F"/>
    <w:rsid w:val="43E9489F"/>
    <w:rsid w:val="43EE7018"/>
    <w:rsid w:val="43F82A61"/>
    <w:rsid w:val="440266BB"/>
    <w:rsid w:val="440C13BE"/>
    <w:rsid w:val="44116432"/>
    <w:rsid w:val="44743154"/>
    <w:rsid w:val="44780FD8"/>
    <w:rsid w:val="449A12D8"/>
    <w:rsid w:val="44A66286"/>
    <w:rsid w:val="44B07FD0"/>
    <w:rsid w:val="44C93A93"/>
    <w:rsid w:val="44D02BC2"/>
    <w:rsid w:val="44E161BC"/>
    <w:rsid w:val="44E4041B"/>
    <w:rsid w:val="450866AA"/>
    <w:rsid w:val="45244CBC"/>
    <w:rsid w:val="45335CB1"/>
    <w:rsid w:val="4534060D"/>
    <w:rsid w:val="45356EC9"/>
    <w:rsid w:val="454C2E6B"/>
    <w:rsid w:val="45546CA7"/>
    <w:rsid w:val="4571013B"/>
    <w:rsid w:val="45A327A9"/>
    <w:rsid w:val="45B95404"/>
    <w:rsid w:val="45E03E6B"/>
    <w:rsid w:val="45EA7CB3"/>
    <w:rsid w:val="45F82184"/>
    <w:rsid w:val="46050AC1"/>
    <w:rsid w:val="461378AA"/>
    <w:rsid w:val="464A59BB"/>
    <w:rsid w:val="46542A94"/>
    <w:rsid w:val="46733942"/>
    <w:rsid w:val="46863764"/>
    <w:rsid w:val="468D3BC6"/>
    <w:rsid w:val="469A7DC9"/>
    <w:rsid w:val="46B34549"/>
    <w:rsid w:val="46C83F1F"/>
    <w:rsid w:val="46EA3AC1"/>
    <w:rsid w:val="47027A25"/>
    <w:rsid w:val="47262F6D"/>
    <w:rsid w:val="47AE202A"/>
    <w:rsid w:val="48130411"/>
    <w:rsid w:val="4814123B"/>
    <w:rsid w:val="482A0D8D"/>
    <w:rsid w:val="486D260C"/>
    <w:rsid w:val="487E50BE"/>
    <w:rsid w:val="48996E68"/>
    <w:rsid w:val="48B5169B"/>
    <w:rsid w:val="48EF1FA5"/>
    <w:rsid w:val="48F60B83"/>
    <w:rsid w:val="48F7696F"/>
    <w:rsid w:val="4903798F"/>
    <w:rsid w:val="491D3D1B"/>
    <w:rsid w:val="495F1E6D"/>
    <w:rsid w:val="49824D4B"/>
    <w:rsid w:val="499B7E6A"/>
    <w:rsid w:val="49A416EB"/>
    <w:rsid w:val="49D160AB"/>
    <w:rsid w:val="49DB1DED"/>
    <w:rsid w:val="49E84517"/>
    <w:rsid w:val="49EB4563"/>
    <w:rsid w:val="4A282B58"/>
    <w:rsid w:val="4A346512"/>
    <w:rsid w:val="4A5B4CDC"/>
    <w:rsid w:val="4A775EF6"/>
    <w:rsid w:val="4A7F4E6E"/>
    <w:rsid w:val="4A867329"/>
    <w:rsid w:val="4A9014FC"/>
    <w:rsid w:val="4AC36513"/>
    <w:rsid w:val="4AC40AD3"/>
    <w:rsid w:val="4AE62A09"/>
    <w:rsid w:val="4B7E5126"/>
    <w:rsid w:val="4BAA59A5"/>
    <w:rsid w:val="4BD6094E"/>
    <w:rsid w:val="4BE3142D"/>
    <w:rsid w:val="4BED22AB"/>
    <w:rsid w:val="4BF278C2"/>
    <w:rsid w:val="4BFF62F7"/>
    <w:rsid w:val="4C023AC9"/>
    <w:rsid w:val="4C0C0983"/>
    <w:rsid w:val="4C0C51AC"/>
    <w:rsid w:val="4C341C88"/>
    <w:rsid w:val="4C4E184D"/>
    <w:rsid w:val="4CB412FA"/>
    <w:rsid w:val="4CD034F5"/>
    <w:rsid w:val="4D1221B1"/>
    <w:rsid w:val="4D682A44"/>
    <w:rsid w:val="4D9A30E9"/>
    <w:rsid w:val="4DEA4CF4"/>
    <w:rsid w:val="4DF21835"/>
    <w:rsid w:val="4E0D2357"/>
    <w:rsid w:val="4E0E751A"/>
    <w:rsid w:val="4E136236"/>
    <w:rsid w:val="4E1C5F15"/>
    <w:rsid w:val="4E426910"/>
    <w:rsid w:val="4E4E29F2"/>
    <w:rsid w:val="4E7520E4"/>
    <w:rsid w:val="4E7F53D0"/>
    <w:rsid w:val="4EB943FF"/>
    <w:rsid w:val="4EB962B8"/>
    <w:rsid w:val="4EFD0A57"/>
    <w:rsid w:val="4FFA5313"/>
    <w:rsid w:val="500E2380"/>
    <w:rsid w:val="502F4C40"/>
    <w:rsid w:val="505327F5"/>
    <w:rsid w:val="506C2F6E"/>
    <w:rsid w:val="506C5051"/>
    <w:rsid w:val="5076286F"/>
    <w:rsid w:val="507E0021"/>
    <w:rsid w:val="509251CF"/>
    <w:rsid w:val="50B82E88"/>
    <w:rsid w:val="50DB4DEB"/>
    <w:rsid w:val="51236137"/>
    <w:rsid w:val="513A613C"/>
    <w:rsid w:val="514D5506"/>
    <w:rsid w:val="519C21AA"/>
    <w:rsid w:val="51DF2696"/>
    <w:rsid w:val="51E46F38"/>
    <w:rsid w:val="523D6DD3"/>
    <w:rsid w:val="52566047"/>
    <w:rsid w:val="525E7A5F"/>
    <w:rsid w:val="529A6522"/>
    <w:rsid w:val="52A07266"/>
    <w:rsid w:val="52B4767F"/>
    <w:rsid w:val="52EE1BC6"/>
    <w:rsid w:val="533C2A88"/>
    <w:rsid w:val="5374721F"/>
    <w:rsid w:val="5382777D"/>
    <w:rsid w:val="53974ABC"/>
    <w:rsid w:val="53AC0356"/>
    <w:rsid w:val="53BC0A5F"/>
    <w:rsid w:val="53D533C6"/>
    <w:rsid w:val="54182349"/>
    <w:rsid w:val="545509EE"/>
    <w:rsid w:val="54C65CED"/>
    <w:rsid w:val="54F66D4F"/>
    <w:rsid w:val="5595547A"/>
    <w:rsid w:val="55AA23E6"/>
    <w:rsid w:val="55AC012E"/>
    <w:rsid w:val="55AC409E"/>
    <w:rsid w:val="55B728F9"/>
    <w:rsid w:val="56767DF8"/>
    <w:rsid w:val="56A17F1A"/>
    <w:rsid w:val="56B3117E"/>
    <w:rsid w:val="57234DD3"/>
    <w:rsid w:val="572A7BF2"/>
    <w:rsid w:val="573568B4"/>
    <w:rsid w:val="573E073D"/>
    <w:rsid w:val="57452FB4"/>
    <w:rsid w:val="574D0B90"/>
    <w:rsid w:val="575933F7"/>
    <w:rsid w:val="576C172C"/>
    <w:rsid w:val="57B90A00"/>
    <w:rsid w:val="57D42F56"/>
    <w:rsid w:val="57D86132"/>
    <w:rsid w:val="57E722A5"/>
    <w:rsid w:val="57EB6225"/>
    <w:rsid w:val="57FC1298"/>
    <w:rsid w:val="57FC1A7A"/>
    <w:rsid w:val="58B17A62"/>
    <w:rsid w:val="58B25F4F"/>
    <w:rsid w:val="58BC00B2"/>
    <w:rsid w:val="58BC638F"/>
    <w:rsid w:val="58E467E4"/>
    <w:rsid w:val="58EA35B6"/>
    <w:rsid w:val="59185266"/>
    <w:rsid w:val="5942081D"/>
    <w:rsid w:val="597E3115"/>
    <w:rsid w:val="599C1FA1"/>
    <w:rsid w:val="59A31205"/>
    <w:rsid w:val="59E7658C"/>
    <w:rsid w:val="5A2F1CE1"/>
    <w:rsid w:val="5A4412E8"/>
    <w:rsid w:val="5A447A54"/>
    <w:rsid w:val="5AA3381D"/>
    <w:rsid w:val="5AAD6872"/>
    <w:rsid w:val="5B3E03D0"/>
    <w:rsid w:val="5B605243"/>
    <w:rsid w:val="5B7B2E9A"/>
    <w:rsid w:val="5B8F5F72"/>
    <w:rsid w:val="5BA653D9"/>
    <w:rsid w:val="5BAF4E87"/>
    <w:rsid w:val="5BB10BFF"/>
    <w:rsid w:val="5BBD57F6"/>
    <w:rsid w:val="5BEB712B"/>
    <w:rsid w:val="5C15218A"/>
    <w:rsid w:val="5C2604F5"/>
    <w:rsid w:val="5C4929A1"/>
    <w:rsid w:val="5C500329"/>
    <w:rsid w:val="5C772E02"/>
    <w:rsid w:val="5C9B64A5"/>
    <w:rsid w:val="5D0C00B7"/>
    <w:rsid w:val="5D0E0A7B"/>
    <w:rsid w:val="5D1643FF"/>
    <w:rsid w:val="5D2378DB"/>
    <w:rsid w:val="5D3C343B"/>
    <w:rsid w:val="5D477F26"/>
    <w:rsid w:val="5D6C0F60"/>
    <w:rsid w:val="5D787D9C"/>
    <w:rsid w:val="5D7F4E8C"/>
    <w:rsid w:val="5DA56803"/>
    <w:rsid w:val="5DD0460F"/>
    <w:rsid w:val="5E5A37D0"/>
    <w:rsid w:val="5E757500"/>
    <w:rsid w:val="5E7808E9"/>
    <w:rsid w:val="5E7E5A91"/>
    <w:rsid w:val="5E9B695D"/>
    <w:rsid w:val="5EC1039D"/>
    <w:rsid w:val="5ED61864"/>
    <w:rsid w:val="5EDB3143"/>
    <w:rsid w:val="5EF375D3"/>
    <w:rsid w:val="5F4858D4"/>
    <w:rsid w:val="5F4D6E91"/>
    <w:rsid w:val="5F824E91"/>
    <w:rsid w:val="5FD86F9D"/>
    <w:rsid w:val="600824C1"/>
    <w:rsid w:val="60252D03"/>
    <w:rsid w:val="605A2D97"/>
    <w:rsid w:val="60662924"/>
    <w:rsid w:val="60676B4C"/>
    <w:rsid w:val="606E7005"/>
    <w:rsid w:val="60CB636F"/>
    <w:rsid w:val="60D333C6"/>
    <w:rsid w:val="61045C75"/>
    <w:rsid w:val="610572F8"/>
    <w:rsid w:val="613B7F07"/>
    <w:rsid w:val="614F368D"/>
    <w:rsid w:val="6151253D"/>
    <w:rsid w:val="617D6266"/>
    <w:rsid w:val="61823196"/>
    <w:rsid w:val="61C64EDF"/>
    <w:rsid w:val="61FB387F"/>
    <w:rsid w:val="62344338"/>
    <w:rsid w:val="62425AC6"/>
    <w:rsid w:val="624C4495"/>
    <w:rsid w:val="62771EF0"/>
    <w:rsid w:val="62847F52"/>
    <w:rsid w:val="628A3147"/>
    <w:rsid w:val="62BF4F1E"/>
    <w:rsid w:val="62CF187B"/>
    <w:rsid w:val="62D653F0"/>
    <w:rsid w:val="62DB6968"/>
    <w:rsid w:val="62E622DE"/>
    <w:rsid w:val="636E0035"/>
    <w:rsid w:val="638E2932"/>
    <w:rsid w:val="6395126D"/>
    <w:rsid w:val="639C2195"/>
    <w:rsid w:val="642C15E7"/>
    <w:rsid w:val="642D7FAE"/>
    <w:rsid w:val="645E744B"/>
    <w:rsid w:val="647153D0"/>
    <w:rsid w:val="648A05F8"/>
    <w:rsid w:val="64AF58D2"/>
    <w:rsid w:val="64B06000"/>
    <w:rsid w:val="64D200CE"/>
    <w:rsid w:val="64D61C0B"/>
    <w:rsid w:val="64D924CA"/>
    <w:rsid w:val="64E34AFD"/>
    <w:rsid w:val="64EA3B18"/>
    <w:rsid w:val="65426D6C"/>
    <w:rsid w:val="65646516"/>
    <w:rsid w:val="657607C4"/>
    <w:rsid w:val="6598698C"/>
    <w:rsid w:val="65B7152B"/>
    <w:rsid w:val="65D70978"/>
    <w:rsid w:val="65F33509"/>
    <w:rsid w:val="65F91B21"/>
    <w:rsid w:val="66456B14"/>
    <w:rsid w:val="66477914"/>
    <w:rsid w:val="664B26DE"/>
    <w:rsid w:val="66591007"/>
    <w:rsid w:val="666D2E99"/>
    <w:rsid w:val="66735E8D"/>
    <w:rsid w:val="6678690F"/>
    <w:rsid w:val="668A2779"/>
    <w:rsid w:val="66D54D70"/>
    <w:rsid w:val="66E128B4"/>
    <w:rsid w:val="67102AAA"/>
    <w:rsid w:val="67182BD7"/>
    <w:rsid w:val="672C6F63"/>
    <w:rsid w:val="675B6480"/>
    <w:rsid w:val="679126D6"/>
    <w:rsid w:val="67D31EFE"/>
    <w:rsid w:val="67E03A86"/>
    <w:rsid w:val="67FA4FA1"/>
    <w:rsid w:val="68396C10"/>
    <w:rsid w:val="68432EB0"/>
    <w:rsid w:val="686314E2"/>
    <w:rsid w:val="68692862"/>
    <w:rsid w:val="6888546A"/>
    <w:rsid w:val="689A50AB"/>
    <w:rsid w:val="68A9190F"/>
    <w:rsid w:val="68CA779C"/>
    <w:rsid w:val="68FC71D7"/>
    <w:rsid w:val="692E7D33"/>
    <w:rsid w:val="694933B1"/>
    <w:rsid w:val="69591651"/>
    <w:rsid w:val="695F6EE0"/>
    <w:rsid w:val="696250C9"/>
    <w:rsid w:val="696E467C"/>
    <w:rsid w:val="696F3EA8"/>
    <w:rsid w:val="698B22C2"/>
    <w:rsid w:val="699A555D"/>
    <w:rsid w:val="69B04076"/>
    <w:rsid w:val="69B813AB"/>
    <w:rsid w:val="6A1011E7"/>
    <w:rsid w:val="6A6A2732"/>
    <w:rsid w:val="6A733103"/>
    <w:rsid w:val="6ABA55F7"/>
    <w:rsid w:val="6B1A4740"/>
    <w:rsid w:val="6B57054E"/>
    <w:rsid w:val="6B7B4D86"/>
    <w:rsid w:val="6BA805AA"/>
    <w:rsid w:val="6BAA19C9"/>
    <w:rsid w:val="6BB901E6"/>
    <w:rsid w:val="6BC02799"/>
    <w:rsid w:val="6BCF16EA"/>
    <w:rsid w:val="6C0D6BCE"/>
    <w:rsid w:val="6C2A222E"/>
    <w:rsid w:val="6C2D6AD7"/>
    <w:rsid w:val="6C376397"/>
    <w:rsid w:val="6C3F109E"/>
    <w:rsid w:val="6C4D0D1E"/>
    <w:rsid w:val="6C682BCF"/>
    <w:rsid w:val="6C830396"/>
    <w:rsid w:val="6CA1081C"/>
    <w:rsid w:val="6CAB36D8"/>
    <w:rsid w:val="6CF20BAC"/>
    <w:rsid w:val="6CFA2FB9"/>
    <w:rsid w:val="6D0F4D11"/>
    <w:rsid w:val="6D593CEB"/>
    <w:rsid w:val="6D8E11CA"/>
    <w:rsid w:val="6DC2475E"/>
    <w:rsid w:val="6DD63CC3"/>
    <w:rsid w:val="6DD63CDC"/>
    <w:rsid w:val="6DFB42D1"/>
    <w:rsid w:val="6E43529A"/>
    <w:rsid w:val="6E4476B1"/>
    <w:rsid w:val="6E5518BE"/>
    <w:rsid w:val="6E5844A7"/>
    <w:rsid w:val="6EA42846"/>
    <w:rsid w:val="6EB32A89"/>
    <w:rsid w:val="6EC902A3"/>
    <w:rsid w:val="6EDB661A"/>
    <w:rsid w:val="6EEA7083"/>
    <w:rsid w:val="6F004A4C"/>
    <w:rsid w:val="6F036080"/>
    <w:rsid w:val="6F2624CB"/>
    <w:rsid w:val="6F280D81"/>
    <w:rsid w:val="6F2F0361"/>
    <w:rsid w:val="6F6206FD"/>
    <w:rsid w:val="6F6E3FA9"/>
    <w:rsid w:val="6FAF14A2"/>
    <w:rsid w:val="6FB16FC8"/>
    <w:rsid w:val="6FB56409"/>
    <w:rsid w:val="6FBE6D37"/>
    <w:rsid w:val="6FD94D6B"/>
    <w:rsid w:val="6FED7F61"/>
    <w:rsid w:val="70455963"/>
    <w:rsid w:val="705169D2"/>
    <w:rsid w:val="70574BDE"/>
    <w:rsid w:val="705D4A5A"/>
    <w:rsid w:val="70B2124A"/>
    <w:rsid w:val="70C71D41"/>
    <w:rsid w:val="70C8271B"/>
    <w:rsid w:val="70C96594"/>
    <w:rsid w:val="70E70CB8"/>
    <w:rsid w:val="70ED5389"/>
    <w:rsid w:val="70F059A8"/>
    <w:rsid w:val="71887955"/>
    <w:rsid w:val="719A4CA2"/>
    <w:rsid w:val="71A7645B"/>
    <w:rsid w:val="71E11BF0"/>
    <w:rsid w:val="71F0071E"/>
    <w:rsid w:val="723F6274"/>
    <w:rsid w:val="72494860"/>
    <w:rsid w:val="728A78D4"/>
    <w:rsid w:val="72A40AEF"/>
    <w:rsid w:val="72B6607D"/>
    <w:rsid w:val="72B71511"/>
    <w:rsid w:val="72CB03A1"/>
    <w:rsid w:val="72E44471"/>
    <w:rsid w:val="73221BF9"/>
    <w:rsid w:val="734343DB"/>
    <w:rsid w:val="73631921"/>
    <w:rsid w:val="73667774"/>
    <w:rsid w:val="737A3B75"/>
    <w:rsid w:val="737E62DE"/>
    <w:rsid w:val="737F6942"/>
    <w:rsid w:val="738E5FC4"/>
    <w:rsid w:val="73B159DB"/>
    <w:rsid w:val="73CD43C4"/>
    <w:rsid w:val="73FF5DF1"/>
    <w:rsid w:val="74011FE3"/>
    <w:rsid w:val="742C13B6"/>
    <w:rsid w:val="742C189E"/>
    <w:rsid w:val="744D665D"/>
    <w:rsid w:val="745D7A02"/>
    <w:rsid w:val="74835169"/>
    <w:rsid w:val="74901140"/>
    <w:rsid w:val="74AF129E"/>
    <w:rsid w:val="74E90FB2"/>
    <w:rsid w:val="74F0564D"/>
    <w:rsid w:val="750A6BCA"/>
    <w:rsid w:val="751A5186"/>
    <w:rsid w:val="754F71E0"/>
    <w:rsid w:val="755E43A0"/>
    <w:rsid w:val="758D3375"/>
    <w:rsid w:val="75AC62C7"/>
    <w:rsid w:val="75CA033B"/>
    <w:rsid w:val="75CF09D8"/>
    <w:rsid w:val="7604751E"/>
    <w:rsid w:val="762322A2"/>
    <w:rsid w:val="762F6E99"/>
    <w:rsid w:val="76472434"/>
    <w:rsid w:val="764D5571"/>
    <w:rsid w:val="76A91B39"/>
    <w:rsid w:val="76C21ABB"/>
    <w:rsid w:val="76C31184"/>
    <w:rsid w:val="76CD20EF"/>
    <w:rsid w:val="76D13EB4"/>
    <w:rsid w:val="76DE4B81"/>
    <w:rsid w:val="77120FA7"/>
    <w:rsid w:val="77226BCA"/>
    <w:rsid w:val="774249AA"/>
    <w:rsid w:val="776F4ADD"/>
    <w:rsid w:val="777B32BA"/>
    <w:rsid w:val="779F035E"/>
    <w:rsid w:val="77CF2125"/>
    <w:rsid w:val="77D72D3B"/>
    <w:rsid w:val="77FB19AF"/>
    <w:rsid w:val="782E15C7"/>
    <w:rsid w:val="7832708B"/>
    <w:rsid w:val="78C45F56"/>
    <w:rsid w:val="792D64F4"/>
    <w:rsid w:val="795861FE"/>
    <w:rsid w:val="7981768C"/>
    <w:rsid w:val="798C46A4"/>
    <w:rsid w:val="79FF4DD4"/>
    <w:rsid w:val="7A1D2914"/>
    <w:rsid w:val="7A41363F"/>
    <w:rsid w:val="7A715C73"/>
    <w:rsid w:val="7A7B736E"/>
    <w:rsid w:val="7A84362B"/>
    <w:rsid w:val="7A9B298D"/>
    <w:rsid w:val="7A9C0639"/>
    <w:rsid w:val="7B176018"/>
    <w:rsid w:val="7B4113EF"/>
    <w:rsid w:val="7B810D8B"/>
    <w:rsid w:val="7B863481"/>
    <w:rsid w:val="7BAE6AB2"/>
    <w:rsid w:val="7BAF2E7B"/>
    <w:rsid w:val="7BD94F5E"/>
    <w:rsid w:val="7BE8391B"/>
    <w:rsid w:val="7BF032FA"/>
    <w:rsid w:val="7BF80940"/>
    <w:rsid w:val="7C033D3C"/>
    <w:rsid w:val="7C131F7E"/>
    <w:rsid w:val="7C3D05FE"/>
    <w:rsid w:val="7C5160F4"/>
    <w:rsid w:val="7CAB5D38"/>
    <w:rsid w:val="7CF92153"/>
    <w:rsid w:val="7D0950C4"/>
    <w:rsid w:val="7D0B29E4"/>
    <w:rsid w:val="7D44147C"/>
    <w:rsid w:val="7D6B2EAC"/>
    <w:rsid w:val="7D6C7379"/>
    <w:rsid w:val="7D823D52"/>
    <w:rsid w:val="7DA20010"/>
    <w:rsid w:val="7DC04683"/>
    <w:rsid w:val="7DCF219E"/>
    <w:rsid w:val="7DD54CAE"/>
    <w:rsid w:val="7DE316D8"/>
    <w:rsid w:val="7E2056B9"/>
    <w:rsid w:val="7E2D5BBB"/>
    <w:rsid w:val="7EDE60C9"/>
    <w:rsid w:val="7EE54876"/>
    <w:rsid w:val="7F1033A7"/>
    <w:rsid w:val="7F132C5D"/>
    <w:rsid w:val="7F2275BA"/>
    <w:rsid w:val="7F9B10FB"/>
    <w:rsid w:val="7FB47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beforeLines="50" w:afterLines="50"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8"/>
    <w:autoRedefine/>
    <w:qFormat/>
    <w:uiPriority w:val="9"/>
    <w:pPr>
      <w:keepNext/>
      <w:keepLines/>
      <w:spacing w:line="578" w:lineRule="auto"/>
      <w:jc w:val="center"/>
      <w:outlineLvl w:val="0"/>
    </w:pPr>
    <w:rPr>
      <w:b/>
      <w:bCs/>
      <w:kern w:val="44"/>
      <w:sz w:val="30"/>
      <w:szCs w:val="44"/>
    </w:rPr>
  </w:style>
  <w:style w:type="paragraph" w:styleId="3">
    <w:name w:val="heading 2"/>
    <w:basedOn w:val="1"/>
    <w:next w:val="1"/>
    <w:link w:val="29"/>
    <w:autoRedefine/>
    <w:unhideWhenUsed/>
    <w:qFormat/>
    <w:uiPriority w:val="9"/>
    <w:pPr>
      <w:keepNext/>
      <w:keepLines/>
      <w:spacing w:line="415" w:lineRule="auto"/>
      <w:jc w:val="center"/>
      <w:outlineLvl w:val="1"/>
    </w:pPr>
    <w:rPr>
      <w:rFonts w:eastAsia="黑体" w:cstheme="majorBidi"/>
      <w:b/>
      <w:bCs/>
      <w:szCs w:val="32"/>
    </w:rPr>
  </w:style>
  <w:style w:type="paragraph" w:styleId="4">
    <w:name w:val="heading 3"/>
    <w:basedOn w:val="1"/>
    <w:next w:val="1"/>
    <w:link w:val="35"/>
    <w:autoRedefine/>
    <w:semiHidden/>
    <w:unhideWhenUsed/>
    <w:qFormat/>
    <w:uiPriority w:val="9"/>
    <w:pPr>
      <w:keepNext/>
      <w:keepLines/>
      <w:adjustRightInd w:val="0"/>
      <w:spacing w:before="260" w:after="260" w:line="416" w:lineRule="auto"/>
      <w:textAlignment w:val="baseline"/>
      <w:outlineLvl w:val="2"/>
    </w:pPr>
    <w:rPr>
      <w:rFonts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unhideWhenUsed/>
    <w:qFormat/>
    <w:uiPriority w:val="35"/>
    <w:pPr>
      <w:widowControl/>
      <w:adjustRightInd w:val="0"/>
      <w:ind w:left="240" w:right="240" w:firstLine="469" w:firstLineChars="213"/>
      <w:jc w:val="left"/>
      <w:textAlignment w:val="baseline"/>
    </w:pPr>
    <w:rPr>
      <w:rFonts w:ascii="Calibri Light" w:hAnsi="Calibri Light" w:eastAsia="黑体" w:cs="Times New Roman"/>
      <w:color w:val="000000"/>
      <w:kern w:val="0"/>
      <w:sz w:val="20"/>
      <w:szCs w:val="20"/>
      <w:lang w:val="zh-CN"/>
    </w:rPr>
  </w:style>
  <w:style w:type="paragraph" w:styleId="6">
    <w:name w:val="Document Map"/>
    <w:basedOn w:val="1"/>
    <w:link w:val="30"/>
    <w:autoRedefine/>
    <w:semiHidden/>
    <w:unhideWhenUsed/>
    <w:qFormat/>
    <w:uiPriority w:val="99"/>
    <w:rPr>
      <w:rFonts w:ascii="宋体"/>
      <w:sz w:val="18"/>
      <w:szCs w:val="18"/>
    </w:rPr>
  </w:style>
  <w:style w:type="paragraph" w:styleId="7">
    <w:name w:val="annotation text"/>
    <w:basedOn w:val="1"/>
    <w:link w:val="60"/>
    <w:autoRedefine/>
    <w:unhideWhenUsed/>
    <w:qFormat/>
    <w:uiPriority w:val="99"/>
    <w:pPr>
      <w:adjustRightInd w:val="0"/>
      <w:jc w:val="left"/>
      <w:textAlignment w:val="baseline"/>
    </w:pPr>
    <w:rPr>
      <w:rFonts w:ascii="Calibri" w:hAnsi="Calibri" w:cs="Times New Roman"/>
    </w:rPr>
  </w:style>
  <w:style w:type="paragraph" w:styleId="8">
    <w:name w:val="Body Text"/>
    <w:basedOn w:val="1"/>
    <w:link w:val="64"/>
    <w:autoRedefine/>
    <w:qFormat/>
    <w:uiPriority w:val="1"/>
    <w:pPr>
      <w:spacing w:beforeLines="0" w:afterLines="0" w:line="240" w:lineRule="auto"/>
      <w:ind w:left="712" w:firstLine="0" w:firstLineChars="0"/>
    </w:pPr>
    <w:rPr>
      <w:rFonts w:ascii="宋体" w:hAnsi="宋体"/>
      <w:sz w:val="21"/>
      <w:szCs w:val="21"/>
    </w:rPr>
  </w:style>
  <w:style w:type="paragraph" w:styleId="9">
    <w:name w:val="Date"/>
    <w:basedOn w:val="1"/>
    <w:next w:val="1"/>
    <w:link w:val="31"/>
    <w:autoRedefine/>
    <w:unhideWhenUsed/>
    <w:qFormat/>
    <w:uiPriority w:val="99"/>
    <w:pPr>
      <w:ind w:left="100" w:leftChars="2500"/>
    </w:pPr>
  </w:style>
  <w:style w:type="paragraph" w:styleId="10">
    <w:name w:val="Balloon Text"/>
    <w:basedOn w:val="1"/>
    <w:link w:val="32"/>
    <w:autoRedefine/>
    <w:unhideWhenUsed/>
    <w:qFormat/>
    <w:uiPriority w:val="99"/>
    <w:rPr>
      <w:sz w:val="18"/>
      <w:szCs w:val="18"/>
    </w:rPr>
  </w:style>
  <w:style w:type="paragraph" w:styleId="11">
    <w:name w:val="footer"/>
    <w:basedOn w:val="1"/>
    <w:link w:val="25"/>
    <w:autoRedefine/>
    <w:unhideWhenUsed/>
    <w:qFormat/>
    <w:uiPriority w:val="99"/>
    <w:pPr>
      <w:tabs>
        <w:tab w:val="center" w:pos="4153"/>
        <w:tab w:val="right" w:pos="8306"/>
      </w:tabs>
      <w:snapToGrid w:val="0"/>
      <w:jc w:val="left"/>
    </w:pPr>
    <w:rPr>
      <w:sz w:val="18"/>
      <w:szCs w:val="18"/>
    </w:rPr>
  </w:style>
  <w:style w:type="paragraph" w:styleId="12">
    <w:name w:val="header"/>
    <w:basedOn w:val="1"/>
    <w:link w:val="2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widowControl/>
      <w:spacing w:line="276" w:lineRule="auto"/>
      <w:jc w:val="left"/>
    </w:pPr>
    <w:rPr>
      <w:rFonts w:cs="宋体"/>
      <w:kern w:val="0"/>
      <w:sz w:val="22"/>
    </w:rPr>
  </w:style>
  <w:style w:type="paragraph" w:styleId="14">
    <w:name w:val="toc 2"/>
    <w:basedOn w:val="1"/>
    <w:next w:val="1"/>
    <w:autoRedefine/>
    <w:qFormat/>
    <w:uiPriority w:val="39"/>
    <w:pPr>
      <w:widowControl/>
      <w:spacing w:line="276" w:lineRule="auto"/>
      <w:ind w:left="220"/>
      <w:jc w:val="left"/>
    </w:pPr>
    <w:rPr>
      <w:rFonts w:cs="宋体"/>
      <w:kern w:val="0"/>
      <w:sz w:val="22"/>
    </w:rPr>
  </w:style>
  <w:style w:type="paragraph" w:styleId="15">
    <w:name w:val="Normal (Web)"/>
    <w:basedOn w:val="1"/>
    <w:autoRedefine/>
    <w:unhideWhenUsed/>
    <w:qFormat/>
    <w:uiPriority w:val="99"/>
    <w:pPr>
      <w:adjustRightInd w:val="0"/>
      <w:textAlignment w:val="baseline"/>
    </w:pPr>
    <w:rPr>
      <w:rFonts w:ascii="Calibri" w:hAnsi="Calibri" w:cs="Times New Roman"/>
    </w:rPr>
  </w:style>
  <w:style w:type="paragraph" w:styleId="16">
    <w:name w:val="annotation subject"/>
    <w:basedOn w:val="7"/>
    <w:next w:val="7"/>
    <w:link w:val="62"/>
    <w:autoRedefine/>
    <w:semiHidden/>
    <w:unhideWhenUsed/>
    <w:qFormat/>
    <w:uiPriority w:val="99"/>
    <w:rPr>
      <w:b/>
      <w:bCs/>
    </w:rPr>
  </w:style>
  <w:style w:type="table" w:styleId="18">
    <w:name w:val="Table Grid"/>
    <w:basedOn w:val="17"/>
    <w:autoRedefine/>
    <w:qFormat/>
    <w:uiPriority w:val="39"/>
    <w:rPr>
      <w:rFonts w:ascii="Calibri" w:hAnsi="Calibri" w:cs="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autoRedefine/>
    <w:qFormat/>
    <w:uiPriority w:val="22"/>
    <w:rPr>
      <w:b/>
    </w:rPr>
  </w:style>
  <w:style w:type="character" w:styleId="21">
    <w:name w:val="page number"/>
    <w:autoRedefine/>
    <w:unhideWhenUsed/>
    <w:qFormat/>
    <w:uiPriority w:val="0"/>
    <w:rPr>
      <w:rFonts w:ascii="Times New Roman" w:hAnsi="Times New Roman" w:eastAsia="宋体"/>
      <w:sz w:val="18"/>
      <w:szCs w:val="20"/>
    </w:rPr>
  </w:style>
  <w:style w:type="character" w:styleId="22">
    <w:name w:val="Hyperlink"/>
    <w:basedOn w:val="19"/>
    <w:autoRedefine/>
    <w:qFormat/>
    <w:uiPriority w:val="99"/>
    <w:rPr>
      <w:color w:val="0000FF"/>
      <w:u w:val="single"/>
    </w:rPr>
  </w:style>
  <w:style w:type="character" w:styleId="23">
    <w:name w:val="annotation reference"/>
    <w:autoRedefine/>
    <w:unhideWhenUsed/>
    <w:qFormat/>
    <w:uiPriority w:val="99"/>
    <w:rPr>
      <w:sz w:val="21"/>
      <w:szCs w:val="21"/>
    </w:rPr>
  </w:style>
  <w:style w:type="character" w:customStyle="1" w:styleId="24">
    <w:name w:val="页眉 字符"/>
    <w:basedOn w:val="19"/>
    <w:link w:val="12"/>
    <w:autoRedefine/>
    <w:qFormat/>
    <w:uiPriority w:val="99"/>
    <w:rPr>
      <w:sz w:val="18"/>
      <w:szCs w:val="18"/>
    </w:rPr>
  </w:style>
  <w:style w:type="character" w:customStyle="1" w:styleId="25">
    <w:name w:val="页脚 字符"/>
    <w:basedOn w:val="19"/>
    <w:link w:val="11"/>
    <w:autoRedefine/>
    <w:qFormat/>
    <w:uiPriority w:val="99"/>
    <w:rPr>
      <w:sz w:val="18"/>
      <w:szCs w:val="18"/>
    </w:rPr>
  </w:style>
  <w:style w:type="character" w:customStyle="1" w:styleId="26">
    <w:name w:val="样式 首行缩进:  2 字符 Char1"/>
    <w:link w:val="27"/>
    <w:autoRedefine/>
    <w:qFormat/>
    <w:locked/>
    <w:uiPriority w:val="0"/>
    <w:rPr>
      <w:sz w:val="24"/>
      <w:lang w:val="zh-CN"/>
    </w:rPr>
  </w:style>
  <w:style w:type="paragraph" w:customStyle="1" w:styleId="27">
    <w:name w:val="样式 首行缩进:  2 字符"/>
    <w:basedOn w:val="1"/>
    <w:link w:val="26"/>
    <w:autoRedefine/>
    <w:qFormat/>
    <w:uiPriority w:val="0"/>
    <w:pPr>
      <w:spacing w:line="480" w:lineRule="exact"/>
      <w:ind w:firstLine="480"/>
    </w:pPr>
    <w:rPr>
      <w:lang w:val="zh-CN"/>
    </w:rPr>
  </w:style>
  <w:style w:type="character" w:customStyle="1" w:styleId="28">
    <w:name w:val="标题 1 字符"/>
    <w:basedOn w:val="19"/>
    <w:link w:val="2"/>
    <w:autoRedefine/>
    <w:qFormat/>
    <w:uiPriority w:val="9"/>
    <w:rPr>
      <w:rFonts w:ascii="Times New Roman" w:hAnsi="Times New Roman" w:eastAsia="宋体"/>
      <w:b/>
      <w:bCs/>
      <w:kern w:val="44"/>
      <w:sz w:val="30"/>
      <w:szCs w:val="44"/>
    </w:rPr>
  </w:style>
  <w:style w:type="character" w:customStyle="1" w:styleId="29">
    <w:name w:val="标题 2 字符"/>
    <w:basedOn w:val="19"/>
    <w:link w:val="3"/>
    <w:autoRedefine/>
    <w:qFormat/>
    <w:uiPriority w:val="9"/>
    <w:rPr>
      <w:rFonts w:ascii="Times New Roman" w:hAnsi="Times New Roman" w:eastAsia="黑体" w:cstheme="majorBidi"/>
      <w:b/>
      <w:bCs/>
      <w:kern w:val="2"/>
      <w:sz w:val="24"/>
      <w:szCs w:val="32"/>
    </w:rPr>
  </w:style>
  <w:style w:type="character" w:customStyle="1" w:styleId="30">
    <w:name w:val="文档结构图 字符"/>
    <w:basedOn w:val="19"/>
    <w:link w:val="6"/>
    <w:autoRedefine/>
    <w:semiHidden/>
    <w:qFormat/>
    <w:uiPriority w:val="99"/>
    <w:rPr>
      <w:rFonts w:ascii="宋体" w:eastAsia="宋体"/>
      <w:kern w:val="2"/>
      <w:sz w:val="18"/>
      <w:szCs w:val="18"/>
    </w:rPr>
  </w:style>
  <w:style w:type="character" w:customStyle="1" w:styleId="31">
    <w:name w:val="日期 字符"/>
    <w:basedOn w:val="19"/>
    <w:link w:val="9"/>
    <w:autoRedefine/>
    <w:semiHidden/>
    <w:qFormat/>
    <w:uiPriority w:val="99"/>
    <w:rPr>
      <w:kern w:val="2"/>
      <w:sz w:val="21"/>
      <w:szCs w:val="22"/>
    </w:rPr>
  </w:style>
  <w:style w:type="character" w:customStyle="1" w:styleId="32">
    <w:name w:val="批注框文本 字符1"/>
    <w:basedOn w:val="19"/>
    <w:link w:val="10"/>
    <w:autoRedefine/>
    <w:qFormat/>
    <w:uiPriority w:val="99"/>
    <w:rPr>
      <w:kern w:val="2"/>
      <w:sz w:val="18"/>
      <w:szCs w:val="18"/>
    </w:rPr>
  </w:style>
  <w:style w:type="paragraph" w:styleId="33">
    <w:name w:val="List Paragraph"/>
    <w:basedOn w:val="1"/>
    <w:autoRedefine/>
    <w:unhideWhenUsed/>
    <w:qFormat/>
    <w:uiPriority w:val="34"/>
    <w:pPr>
      <w:ind w:firstLine="420"/>
    </w:pPr>
  </w:style>
  <w:style w:type="character" w:customStyle="1" w:styleId="34">
    <w:name w:val="fontstyle01"/>
    <w:basedOn w:val="19"/>
    <w:autoRedefine/>
    <w:qFormat/>
    <w:uiPriority w:val="0"/>
    <w:rPr>
      <w:rFonts w:hint="eastAsia" w:ascii="宋体" w:hAnsi="宋体" w:eastAsia="宋体"/>
      <w:color w:val="000000"/>
      <w:sz w:val="22"/>
      <w:szCs w:val="22"/>
    </w:rPr>
  </w:style>
  <w:style w:type="character" w:customStyle="1" w:styleId="35">
    <w:name w:val="标题 3 字符"/>
    <w:basedOn w:val="19"/>
    <w:link w:val="4"/>
    <w:autoRedefine/>
    <w:semiHidden/>
    <w:qFormat/>
    <w:uiPriority w:val="9"/>
    <w:rPr>
      <w:rFonts w:ascii="Times New Roman" w:hAnsi="Times New Roman" w:eastAsia="宋体" w:cs="Times New Roman"/>
      <w:b/>
      <w:bCs/>
      <w:kern w:val="2"/>
      <w:sz w:val="32"/>
      <w:szCs w:val="32"/>
    </w:rPr>
  </w:style>
  <w:style w:type="paragraph" w:customStyle="1" w:styleId="36">
    <w:name w:val="表格正文"/>
    <w:basedOn w:val="1"/>
    <w:link w:val="37"/>
    <w:autoRedefine/>
    <w:qFormat/>
    <w:uiPriority w:val="0"/>
    <w:pPr>
      <w:autoSpaceDE w:val="0"/>
      <w:autoSpaceDN w:val="0"/>
      <w:adjustRightInd w:val="0"/>
      <w:spacing w:line="276" w:lineRule="auto"/>
      <w:jc w:val="left"/>
      <w:textAlignment w:val="baseline"/>
    </w:pPr>
    <w:rPr>
      <w:rFonts w:ascii="FZFangSong-Z02S" w:hAnsi="Calibri" w:eastAsia="FZFangSong-Z02S" w:cs="Times New Roman"/>
      <w:kern w:val="0"/>
    </w:rPr>
  </w:style>
  <w:style w:type="character" w:customStyle="1" w:styleId="37">
    <w:name w:val="表格正文 Char"/>
    <w:basedOn w:val="19"/>
    <w:link w:val="36"/>
    <w:autoRedefine/>
    <w:qFormat/>
    <w:uiPriority w:val="0"/>
    <w:rPr>
      <w:rFonts w:ascii="FZFangSong-Z02S" w:hAnsi="Calibri" w:eastAsia="FZFangSong-Z02S" w:cs="Times New Roman"/>
      <w:sz w:val="21"/>
      <w:szCs w:val="22"/>
    </w:rPr>
  </w:style>
  <w:style w:type="character" w:customStyle="1" w:styleId="38">
    <w:name w:val="页眉 Char1"/>
    <w:basedOn w:val="19"/>
    <w:autoRedefine/>
    <w:qFormat/>
    <w:uiPriority w:val="99"/>
    <w:rPr>
      <w:sz w:val="18"/>
      <w:szCs w:val="18"/>
    </w:rPr>
  </w:style>
  <w:style w:type="character" w:customStyle="1" w:styleId="39">
    <w:name w:val="页脚 Char1"/>
    <w:basedOn w:val="19"/>
    <w:autoRedefine/>
    <w:qFormat/>
    <w:uiPriority w:val="99"/>
    <w:rPr>
      <w:sz w:val="18"/>
      <w:szCs w:val="18"/>
    </w:rPr>
  </w:style>
  <w:style w:type="character" w:customStyle="1" w:styleId="40">
    <w:name w:val="标题 1 Char1"/>
    <w:basedOn w:val="19"/>
    <w:autoRedefine/>
    <w:qFormat/>
    <w:uiPriority w:val="9"/>
    <w:rPr>
      <w:b/>
      <w:bCs/>
      <w:kern w:val="44"/>
      <w:sz w:val="32"/>
      <w:szCs w:val="44"/>
    </w:rPr>
  </w:style>
  <w:style w:type="character" w:customStyle="1" w:styleId="41">
    <w:name w:val="标题 2 Char1"/>
    <w:basedOn w:val="19"/>
    <w:autoRedefine/>
    <w:qFormat/>
    <w:uiPriority w:val="9"/>
    <w:rPr>
      <w:rFonts w:asciiTheme="majorHAnsi" w:hAnsiTheme="majorHAnsi" w:eastAsiaTheme="majorEastAsia" w:cstheme="majorBidi"/>
      <w:b/>
      <w:bCs/>
      <w:sz w:val="28"/>
      <w:szCs w:val="32"/>
    </w:rPr>
  </w:style>
  <w:style w:type="character" w:customStyle="1" w:styleId="42">
    <w:name w:val="日期 Char1"/>
    <w:basedOn w:val="19"/>
    <w:autoRedefine/>
    <w:semiHidden/>
    <w:qFormat/>
    <w:uiPriority w:val="99"/>
    <w:rPr>
      <w:kern w:val="2"/>
      <w:sz w:val="21"/>
      <w:szCs w:val="22"/>
    </w:rPr>
  </w:style>
  <w:style w:type="table" w:customStyle="1" w:styleId="43">
    <w:name w:val="TableGrid"/>
    <w:autoRedefine/>
    <w:qFormat/>
    <w:uiPriority w:val="0"/>
    <w:rPr>
      <w:kern w:val="2"/>
      <w:sz w:val="21"/>
      <w:szCs w:val="22"/>
    </w:rPr>
    <w:tblPr>
      <w:tblCellMar>
        <w:top w:w="0" w:type="dxa"/>
        <w:left w:w="0" w:type="dxa"/>
        <w:bottom w:w="0" w:type="dxa"/>
        <w:right w:w="0" w:type="dxa"/>
      </w:tblCellMar>
    </w:tblPr>
  </w:style>
  <w:style w:type="paragraph" w:customStyle="1" w:styleId="44">
    <w:name w:val="表格文字"/>
    <w:basedOn w:val="1"/>
    <w:link w:val="45"/>
    <w:autoRedefine/>
    <w:qFormat/>
    <w:uiPriority w:val="0"/>
    <w:pPr>
      <w:adjustRightInd w:val="0"/>
      <w:snapToGrid w:val="0"/>
      <w:spacing w:before="50" w:after="50" w:line="240" w:lineRule="auto"/>
      <w:ind w:firstLine="0" w:firstLineChars="0"/>
      <w:jc w:val="center"/>
      <w:textAlignment w:val="baseline"/>
    </w:pPr>
    <w:rPr>
      <w:rFonts w:cs="Times New Roman"/>
      <w:sz w:val="21"/>
    </w:rPr>
  </w:style>
  <w:style w:type="character" w:customStyle="1" w:styleId="45">
    <w:name w:val="表格文字 Char"/>
    <w:basedOn w:val="19"/>
    <w:link w:val="44"/>
    <w:autoRedefine/>
    <w:qFormat/>
    <w:uiPriority w:val="0"/>
    <w:rPr>
      <w:rFonts w:ascii="Times New Roman" w:hAnsi="Times New Roman" w:eastAsia="宋体" w:cs="Times New Roman"/>
      <w:kern w:val="2"/>
      <w:sz w:val="21"/>
      <w:szCs w:val="22"/>
    </w:rPr>
  </w:style>
  <w:style w:type="character" w:customStyle="1" w:styleId="46">
    <w:name w:val="批注框文本 字符"/>
    <w:basedOn w:val="19"/>
    <w:autoRedefine/>
    <w:semiHidden/>
    <w:qFormat/>
    <w:uiPriority w:val="99"/>
    <w:rPr>
      <w:kern w:val="2"/>
      <w:sz w:val="18"/>
      <w:szCs w:val="18"/>
    </w:rPr>
  </w:style>
  <w:style w:type="paragraph" w:customStyle="1" w:styleId="47">
    <w:name w:val="条文说明表格"/>
    <w:next w:val="1"/>
    <w:link w:val="48"/>
    <w:autoRedefine/>
    <w:qFormat/>
    <w:uiPriority w:val="0"/>
    <w:pPr>
      <w:widowControl w:val="0"/>
      <w:adjustRightInd w:val="0"/>
      <w:spacing w:line="360" w:lineRule="atLeast"/>
      <w:jc w:val="both"/>
      <w:textAlignment w:val="baseline"/>
    </w:pPr>
    <w:rPr>
      <w:rFonts w:ascii="宋体" w:hAnsi="宋体" w:eastAsia="宋体" w:cs="Times New Roman"/>
      <w:i/>
      <w:color w:val="000000"/>
      <w:sz w:val="18"/>
      <w:szCs w:val="21"/>
      <w:lang w:val="zh-CN" w:eastAsia="zh-CN" w:bidi="ar-SA"/>
    </w:rPr>
  </w:style>
  <w:style w:type="character" w:customStyle="1" w:styleId="48">
    <w:name w:val="条文说明表格 Char"/>
    <w:link w:val="47"/>
    <w:autoRedefine/>
    <w:qFormat/>
    <w:uiPriority w:val="0"/>
    <w:rPr>
      <w:rFonts w:ascii="宋体" w:hAnsi="宋体" w:eastAsia="宋体" w:cs="Times New Roman"/>
      <w:i/>
      <w:color w:val="000000"/>
      <w:sz w:val="18"/>
      <w:szCs w:val="21"/>
      <w:lang w:val="zh-CN"/>
    </w:rPr>
  </w:style>
  <w:style w:type="paragraph" w:customStyle="1" w:styleId="49">
    <w:name w:val="Char Char Char Char Char Char Char"/>
    <w:basedOn w:val="1"/>
    <w:autoRedefine/>
    <w:qFormat/>
    <w:uiPriority w:val="0"/>
    <w:pPr>
      <w:widowControl/>
      <w:adjustRightInd w:val="0"/>
      <w:spacing w:after="160" w:line="240" w:lineRule="exact"/>
      <w:jc w:val="left"/>
      <w:textAlignment w:val="baseline"/>
    </w:pPr>
    <w:rPr>
      <w:rFonts w:ascii="Calibri" w:hAnsi="Calibri" w:cs="Times New Roman"/>
      <w:szCs w:val="20"/>
    </w:rPr>
  </w:style>
  <w:style w:type="paragraph" w:customStyle="1" w:styleId="50">
    <w:name w:val="列出段落1"/>
    <w:basedOn w:val="1"/>
    <w:autoRedefine/>
    <w:qFormat/>
    <w:uiPriority w:val="34"/>
    <w:pPr>
      <w:adjustRightInd w:val="0"/>
      <w:ind w:firstLine="420"/>
      <w:textAlignment w:val="baseline"/>
    </w:pPr>
    <w:rPr>
      <w:rFonts w:cs="Times New Roman"/>
    </w:rPr>
  </w:style>
  <w:style w:type="paragraph" w:customStyle="1" w:styleId="51">
    <w:name w:val="封面一致性程度标识"/>
    <w:autoRedefine/>
    <w:qFormat/>
    <w:uiPriority w:val="0"/>
    <w:pPr>
      <w:widowControl w:val="0"/>
      <w:adjustRightInd w:val="0"/>
      <w:spacing w:before="440" w:line="400" w:lineRule="exact"/>
      <w:jc w:val="center"/>
      <w:textAlignment w:val="baseline"/>
    </w:pPr>
    <w:rPr>
      <w:rFonts w:ascii="宋体" w:hAnsi="Times New Roman" w:eastAsia="宋体" w:cs="Times New Roman"/>
      <w:sz w:val="28"/>
      <w:szCs w:val="22"/>
      <w:lang w:val="en-US" w:eastAsia="zh-CN" w:bidi="ar-SA"/>
    </w:rPr>
  </w:style>
  <w:style w:type="paragraph" w:customStyle="1" w:styleId="52">
    <w:name w:val="标准书眉一"/>
    <w:autoRedefine/>
    <w:qFormat/>
    <w:uiPriority w:val="0"/>
    <w:pPr>
      <w:widowControl w:val="0"/>
      <w:adjustRightInd w:val="0"/>
      <w:spacing w:line="360" w:lineRule="atLeast"/>
      <w:jc w:val="both"/>
      <w:textAlignment w:val="baseline"/>
    </w:pPr>
    <w:rPr>
      <w:rFonts w:ascii="Times New Roman" w:hAnsi="Times New Roman" w:eastAsia="宋体" w:cs="Times New Roman"/>
      <w:sz w:val="21"/>
      <w:szCs w:val="22"/>
      <w:lang w:val="en-US" w:eastAsia="zh-CN" w:bidi="ar-SA"/>
    </w:rPr>
  </w:style>
  <w:style w:type="paragraph" w:customStyle="1" w:styleId="53">
    <w:name w:val="封面标准英文名称"/>
    <w:autoRedefine/>
    <w:qFormat/>
    <w:uiPriority w:val="0"/>
    <w:pPr>
      <w:widowControl w:val="0"/>
      <w:adjustRightInd w:val="0"/>
      <w:spacing w:before="370" w:line="400" w:lineRule="exact"/>
      <w:jc w:val="center"/>
      <w:textAlignment w:val="baseline"/>
    </w:pPr>
    <w:rPr>
      <w:rFonts w:ascii="Times New Roman" w:hAnsi="Times New Roman" w:eastAsia="宋体" w:cs="Times New Roman"/>
      <w:sz w:val="28"/>
      <w:szCs w:val="22"/>
      <w:lang w:val="en-US" w:eastAsia="zh-CN" w:bidi="ar-SA"/>
    </w:rPr>
  </w:style>
  <w:style w:type="paragraph" w:customStyle="1" w:styleId="54">
    <w:name w:val="标准书脚_奇数页"/>
    <w:autoRedefine/>
    <w:qFormat/>
    <w:uiPriority w:val="0"/>
    <w:pPr>
      <w:widowControl w:val="0"/>
      <w:adjustRightInd w:val="0"/>
      <w:spacing w:before="120" w:line="360" w:lineRule="atLeast"/>
      <w:jc w:val="right"/>
      <w:textAlignment w:val="baseline"/>
    </w:pPr>
    <w:rPr>
      <w:rFonts w:ascii="Times New Roman" w:hAnsi="Times New Roman" w:eastAsia="宋体" w:cs="Times New Roman"/>
      <w:sz w:val="18"/>
      <w:szCs w:val="22"/>
      <w:lang w:val="en-US" w:eastAsia="zh-CN" w:bidi="ar-SA"/>
    </w:rPr>
  </w:style>
  <w:style w:type="paragraph" w:customStyle="1" w:styleId="55">
    <w:name w:val="TOC 标题1"/>
    <w:basedOn w:val="2"/>
    <w:next w:val="1"/>
    <w:autoRedefine/>
    <w:unhideWhenUsed/>
    <w:qFormat/>
    <w:uiPriority w:val="39"/>
    <w:pPr>
      <w:widowControl/>
      <w:adjustRightInd w:val="0"/>
      <w:spacing w:before="240" w:line="259" w:lineRule="auto"/>
      <w:jc w:val="left"/>
      <w:textAlignment w:val="baseline"/>
      <w:outlineLvl w:val="9"/>
    </w:pPr>
    <w:rPr>
      <w:rFonts w:ascii="Calibri Light" w:hAnsi="Calibri Light" w:cs="Times New Roman"/>
      <w:b w:val="0"/>
      <w:bCs w:val="0"/>
      <w:color w:val="2E74B5"/>
      <w:kern w:val="0"/>
      <w:szCs w:val="32"/>
    </w:rPr>
  </w:style>
  <w:style w:type="paragraph" w:customStyle="1" w:styleId="56">
    <w:name w:val="章节标题"/>
    <w:basedOn w:val="1"/>
    <w:next w:val="1"/>
    <w:autoRedefine/>
    <w:qFormat/>
    <w:uiPriority w:val="0"/>
    <w:pPr>
      <w:widowControl/>
      <w:numPr>
        <w:ilvl w:val="1"/>
        <w:numId w:val="1"/>
      </w:numPr>
      <w:adjustRightInd w:val="0"/>
      <w:spacing w:before="120" w:after="120"/>
      <w:ind w:right="240" w:firstLine="0"/>
      <w:jc w:val="center"/>
      <w:textAlignment w:val="baseline"/>
    </w:pPr>
    <w:rPr>
      <w:rFonts w:ascii="黑体" w:hAnsi="黑体" w:eastAsia="黑体" w:cs="Arial Unicode MS"/>
      <w:color w:val="000000"/>
      <w:kern w:val="0"/>
      <w:szCs w:val="28"/>
      <w:lang w:val="zh-CN"/>
    </w:rPr>
  </w:style>
  <w:style w:type="paragraph" w:customStyle="1" w:styleId="57">
    <w:name w:val="编号章节标题"/>
    <w:basedOn w:val="56"/>
    <w:next w:val="56"/>
    <w:autoRedefine/>
    <w:qFormat/>
    <w:uiPriority w:val="0"/>
    <w:pPr>
      <w:numPr>
        <w:ilvl w:val="0"/>
      </w:numPr>
      <w:spacing w:afterLines="150" w:line="240" w:lineRule="auto"/>
      <w:ind w:right="0"/>
    </w:pPr>
    <w:rPr>
      <w:rFonts w:eastAsia="宋体" w:cs="Times New Roman"/>
      <w:sz w:val="28"/>
    </w:rPr>
  </w:style>
  <w:style w:type="paragraph" w:customStyle="1" w:styleId="58">
    <w:name w:val="编号正文"/>
    <w:basedOn w:val="1"/>
    <w:link w:val="59"/>
    <w:autoRedefine/>
    <w:qFormat/>
    <w:uiPriority w:val="0"/>
    <w:pPr>
      <w:widowControl/>
      <w:numPr>
        <w:ilvl w:val="2"/>
        <w:numId w:val="1"/>
      </w:numPr>
      <w:adjustRightInd w:val="0"/>
      <w:ind w:right="229" w:rightChars="109"/>
      <w:jc w:val="left"/>
      <w:textAlignment w:val="baseline"/>
    </w:pPr>
    <w:rPr>
      <w:rFonts w:ascii="宋体" w:hAnsi="宋体" w:cs="Times New Roman"/>
      <w:color w:val="000000"/>
      <w:kern w:val="0"/>
      <w:lang w:val="zh-CN"/>
    </w:rPr>
  </w:style>
  <w:style w:type="character" w:customStyle="1" w:styleId="59">
    <w:name w:val="编号正文 Char"/>
    <w:link w:val="58"/>
    <w:autoRedefine/>
    <w:qFormat/>
    <w:uiPriority w:val="0"/>
    <w:rPr>
      <w:rFonts w:ascii="宋体" w:hAnsi="宋体" w:eastAsia="宋体" w:cs="Times New Roman"/>
      <w:color w:val="000000"/>
      <w:sz w:val="21"/>
      <w:szCs w:val="22"/>
      <w:lang w:val="zh-CN"/>
    </w:rPr>
  </w:style>
  <w:style w:type="character" w:customStyle="1" w:styleId="60">
    <w:name w:val="批注文字 字符1"/>
    <w:basedOn w:val="19"/>
    <w:link w:val="7"/>
    <w:autoRedefine/>
    <w:qFormat/>
    <w:uiPriority w:val="99"/>
    <w:rPr>
      <w:rFonts w:ascii="Calibri" w:hAnsi="Calibri" w:eastAsia="宋体" w:cs="Times New Roman"/>
      <w:kern w:val="2"/>
      <w:sz w:val="21"/>
      <w:szCs w:val="22"/>
    </w:rPr>
  </w:style>
  <w:style w:type="character" w:customStyle="1" w:styleId="61">
    <w:name w:val="批注文字 字符"/>
    <w:basedOn w:val="19"/>
    <w:autoRedefine/>
    <w:semiHidden/>
    <w:qFormat/>
    <w:uiPriority w:val="99"/>
    <w:rPr>
      <w:kern w:val="2"/>
      <w:sz w:val="21"/>
      <w:szCs w:val="22"/>
    </w:rPr>
  </w:style>
  <w:style w:type="character" w:customStyle="1" w:styleId="62">
    <w:name w:val="批注主题 字符1"/>
    <w:basedOn w:val="60"/>
    <w:link w:val="16"/>
    <w:autoRedefine/>
    <w:semiHidden/>
    <w:qFormat/>
    <w:uiPriority w:val="99"/>
    <w:rPr>
      <w:rFonts w:ascii="Calibri" w:hAnsi="Calibri" w:eastAsia="宋体" w:cs="Times New Roman"/>
      <w:b/>
      <w:bCs/>
      <w:kern w:val="2"/>
      <w:sz w:val="21"/>
      <w:szCs w:val="22"/>
    </w:rPr>
  </w:style>
  <w:style w:type="character" w:customStyle="1" w:styleId="63">
    <w:name w:val="批注主题 字符"/>
    <w:basedOn w:val="61"/>
    <w:autoRedefine/>
    <w:semiHidden/>
    <w:qFormat/>
    <w:uiPriority w:val="99"/>
    <w:rPr>
      <w:b/>
      <w:bCs/>
      <w:kern w:val="2"/>
      <w:sz w:val="21"/>
      <w:szCs w:val="22"/>
    </w:rPr>
  </w:style>
  <w:style w:type="character" w:customStyle="1" w:styleId="64">
    <w:name w:val="正文文本 字符"/>
    <w:basedOn w:val="19"/>
    <w:link w:val="8"/>
    <w:autoRedefine/>
    <w:qFormat/>
    <w:uiPriority w:val="1"/>
    <w:rPr>
      <w:rFonts w:ascii="宋体" w:hAnsi="宋体" w:eastAsia="宋体"/>
      <w:kern w:val="2"/>
      <w:sz w:val="21"/>
      <w:szCs w:val="21"/>
    </w:rPr>
  </w:style>
  <w:style w:type="character" w:customStyle="1" w:styleId="65">
    <w:name w:val="font01"/>
    <w:basedOn w:val="19"/>
    <w:autoRedefine/>
    <w:qFormat/>
    <w:uiPriority w:val="0"/>
    <w:rPr>
      <w:rFonts w:ascii="宋体" w:hAnsi="宋体" w:eastAsia="宋体" w:cs="宋体"/>
      <w:color w:val="000000"/>
      <w:sz w:val="20"/>
      <w:szCs w:val="20"/>
      <w:u w:val="none"/>
    </w:rPr>
  </w:style>
  <w:style w:type="paragraph" w:customStyle="1" w:styleId="66">
    <w:name w:val="文本正文_不缩进"/>
    <w:basedOn w:val="1"/>
    <w:autoRedefine/>
    <w:qFormat/>
    <w:uiPriority w:val="0"/>
    <w:pPr>
      <w:tabs>
        <w:tab w:val="left" w:pos="2160"/>
      </w:tabs>
    </w:pPr>
    <w:rPr>
      <w:rFonts w:ascii="宋体" w:hAnsi="宋体" w:cs="宋体"/>
      <w:szCs w:val="24"/>
    </w:rPr>
  </w:style>
  <w:style w:type="table" w:customStyle="1" w:styleId="67">
    <w:name w:val="Table Normal"/>
    <w:autoRedefine/>
    <w:semiHidden/>
    <w:unhideWhenUsed/>
    <w:qFormat/>
    <w:uiPriority w:val="0"/>
    <w:tblPr>
      <w:tblCellMar>
        <w:top w:w="0" w:type="dxa"/>
        <w:left w:w="0" w:type="dxa"/>
        <w:bottom w:w="0" w:type="dxa"/>
        <w:right w:w="0" w:type="dxa"/>
      </w:tblCellMar>
    </w:tblPr>
  </w:style>
  <w:style w:type="paragraph" w:customStyle="1" w:styleId="68">
    <w:name w:val="Table Text"/>
    <w:basedOn w:val="1"/>
    <w:autoRedefine/>
    <w:semiHidden/>
    <w:qFormat/>
    <w:uiPriority w:val="0"/>
    <w:rPr>
      <w:rFonts w:ascii="宋体" w:hAnsi="宋体" w:cs="宋体"/>
      <w:szCs w:val="24"/>
      <w:lang w:eastAsia="en-US"/>
    </w:rPr>
  </w:style>
  <w:style w:type="paragraph" w:customStyle="1" w:styleId="69">
    <w:name w:val="Table Paragraph"/>
    <w:basedOn w:val="1"/>
    <w:autoRedefine/>
    <w:qFormat/>
    <w:uiPriority w:val="1"/>
    <w:pPr>
      <w:spacing w:before="55"/>
      <w:ind w:left="201"/>
      <w:jc w:val="center"/>
    </w:pPr>
    <w:rPr>
      <w:rFonts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82F0E7-FE9F-40C1-BFE1-F77D851D672F}">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23781</Words>
  <Characters>25356</Characters>
  <Lines>278</Lines>
  <Paragraphs>78</Paragraphs>
  <TotalTime>20</TotalTime>
  <ScaleCrop>false</ScaleCrop>
  <LinksUpToDate>false</LinksUpToDate>
  <CharactersWithSpaces>26030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2024-04-02T02:37:00Z</dcterms:created>
  <dc:creator>Administrator</dc:creator>
  <cp:lastModifiedBy>海纳云</cp:lastModifiedBy>
  <cp:lastPrinted>2020-03-23T02:47:00Z</cp:lastPrinted>
  <dcterms:modified xsi:type="dcterms:W3CDTF">2024-10-24T02:49:25Z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70A5695900F14AEDB79E89E37B068F50_13</vt:lpwstr>
  </property>
</Properties>
</file>