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52522">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关于做好2025年房屋建筑工程汛前准备工作的通知</w:t>
      </w:r>
    </w:p>
    <w:p w14:paraId="2B6533BF">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2025-05-07</w:t>
      </w:r>
    </w:p>
    <w:p w14:paraId="648D1DE3">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各区、市建筑施工安全监督机构，</w:t>
      </w:r>
      <w:r>
        <w:rPr>
          <w:rFonts w:hint="default" w:ascii="仿宋_GB2312" w:hAnsi="Helvetica" w:eastAsia="仿宋_GB2312" w:cs="仿宋_GB2312"/>
          <w:i w:val="0"/>
          <w:iCs w:val="0"/>
          <w:caps w:val="0"/>
          <w:color w:val="333333"/>
          <w:spacing w:val="0"/>
          <w:sz w:val="31"/>
          <w:szCs w:val="31"/>
        </w:rPr>
        <w:t>青岛西海岸新区建筑工程管理服务中心，各有关单位：</w:t>
      </w:r>
    </w:p>
    <w:p w14:paraId="20FA9643">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目前，我市已经进入2025年汛前工作准备阶段，为全面落实国家、省和市有关部署要求，进一步做好房屋建筑工程汛前准备工作，确保安全度汛,现将工作要求通知如下。</w:t>
      </w:r>
    </w:p>
    <w:p w14:paraId="1FAE132F">
      <w:pPr>
        <w:pStyle w:val="3"/>
        <w:keepNext w:val="0"/>
        <w:keepLines w:val="0"/>
        <w:widowControl/>
        <w:suppressLineNumbers w:val="0"/>
        <w:spacing w:before="0" w:beforeAutospacing="0" w:after="150" w:afterAutospacing="0" w:line="555" w:lineRule="atLeast"/>
        <w:ind w:left="0" w:right="0" w:firstLine="645"/>
        <w:jc w:val="left"/>
      </w:pPr>
      <w:r>
        <w:rPr>
          <w:rFonts w:ascii="黑体" w:hAnsi="宋体" w:eastAsia="黑体" w:cs="黑体"/>
          <w:i w:val="0"/>
          <w:iCs w:val="0"/>
          <w:caps w:val="0"/>
          <w:color w:val="333333"/>
          <w:spacing w:val="0"/>
          <w:sz w:val="31"/>
          <w:szCs w:val="31"/>
        </w:rPr>
        <w:t>一、强化政治担当，压紧压实防汛安全责任</w:t>
      </w:r>
    </w:p>
    <w:p w14:paraId="484AB5F6">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据预测,我省今年气候状况总体偏差,先旱后涝,涝重于旱,极端天气多发、重发,防汛形势更趋复杂严峻。各单位要坚持以习近平新时代中国特色社会主义思想为指导，深入贯彻习近平总书记对山东工作的重要指示要求，坚持人民至上、生命至上，预防为主、安全第一。要从早从严从实做好汛前准备工作，突出关口前移，切实增强做好防汛工作的使命感和紧迫感，开展汛前相关准备工作。</w:t>
      </w:r>
    </w:p>
    <w:p w14:paraId="5011FFA5">
      <w:pPr>
        <w:pStyle w:val="3"/>
        <w:keepNext w:val="0"/>
        <w:keepLines w:val="0"/>
        <w:widowControl/>
        <w:suppressLineNumbers w:val="0"/>
        <w:spacing w:before="0" w:beforeAutospacing="0" w:after="150" w:afterAutospacing="0" w:line="555" w:lineRule="atLeast"/>
        <w:ind w:left="0" w:right="0" w:firstLine="585"/>
        <w:jc w:val="left"/>
      </w:pPr>
      <w:r>
        <w:rPr>
          <w:rFonts w:hint="eastAsia" w:ascii="黑体" w:hAnsi="宋体" w:eastAsia="黑体" w:cs="黑体"/>
          <w:i w:val="0"/>
          <w:iCs w:val="0"/>
          <w:caps w:val="0"/>
          <w:color w:val="333333"/>
          <w:spacing w:val="-15"/>
          <w:sz w:val="31"/>
          <w:szCs w:val="31"/>
        </w:rPr>
        <w:t>二、深化源头治理，全面排查整治风险隐患</w:t>
      </w:r>
    </w:p>
    <w:p w14:paraId="5580CD7E">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自即日起至5月底前，各有关单位、各企业项目要立即开展一次汛前安全隐患自查自纠，务必抢抓防汛备汛窗口期，重点检查：责任落实、预案修编、培训演练、值班值守、队伍物资、设施设备、人员转移安置、应急抢险准备等方面和环节。要结合汛期建筑施工实际，组织对深基坑、建筑起重机械、脚手架及模板支撑、施工机具、临时用电、高处作业、临建设施、围挡、保温材料等关键部位和重点环节进行深入排查整治。</w:t>
      </w:r>
    </w:p>
    <w:p w14:paraId="4DB8F997">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1.深基坑：重点检查支护结构（有无裂纹、开裂、渗水等）、施工工况（是否按方案进行开挖、降排水是否正常等）、周边环境（管线有无破损、建筑物及道路有无开裂变形等）及监测设施运行情况。</w:t>
      </w:r>
      <w:r>
        <w:rPr>
          <w:rStyle w:val="6"/>
          <w:rFonts w:hint="default" w:ascii="仿宋_GB2312" w:hAnsi="Helvetica" w:eastAsia="仿宋_GB2312" w:cs="仿宋_GB2312"/>
          <w:b/>
          <w:bCs/>
          <w:i w:val="0"/>
          <w:iCs w:val="0"/>
          <w:caps w:val="0"/>
          <w:color w:val="333333"/>
          <w:spacing w:val="0"/>
          <w:sz w:val="31"/>
          <w:szCs w:val="31"/>
        </w:rPr>
        <w:t>各项目汛前要组织专家对深基坑进行一次回访，</w:t>
      </w:r>
      <w:r>
        <w:rPr>
          <w:rFonts w:hint="default" w:ascii="仿宋_GB2312" w:hAnsi="Helvetica" w:eastAsia="仿宋_GB2312" w:cs="仿宋_GB2312"/>
          <w:i w:val="0"/>
          <w:iCs w:val="0"/>
          <w:caps w:val="0"/>
          <w:color w:val="333333"/>
          <w:spacing w:val="0"/>
          <w:sz w:val="31"/>
          <w:szCs w:val="31"/>
        </w:rPr>
        <w:t>全面整改落实专家意见，确保汛前隐患清零。</w:t>
      </w:r>
    </w:p>
    <w:p w14:paraId="2DB507F0">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2.起重机械：重点检查现场塔机地脚螺栓、附墙螺栓、标准节的紧固情况，未达要求的立即加固；塔机安全监控终端设备要接入管理系统平台；</w:t>
      </w:r>
      <w:r>
        <w:rPr>
          <w:rStyle w:val="6"/>
          <w:rFonts w:hint="default" w:ascii="仿宋_GB2312" w:hAnsi="Helvetica" w:eastAsia="仿宋_GB2312" w:cs="仿宋_GB2312"/>
          <w:b/>
          <w:bCs/>
          <w:i w:val="0"/>
          <w:iCs w:val="0"/>
          <w:caps w:val="0"/>
          <w:color w:val="333333"/>
          <w:spacing w:val="0"/>
          <w:sz w:val="31"/>
          <w:szCs w:val="31"/>
        </w:rPr>
        <w:t>塔机自由端高度和独立高度要严格控制在设计高度的80%以内；</w:t>
      </w:r>
      <w:r>
        <w:rPr>
          <w:rFonts w:hint="default" w:ascii="仿宋_GB2312" w:hAnsi="Helvetica" w:eastAsia="仿宋_GB2312" w:cs="仿宋_GB2312"/>
          <w:i w:val="0"/>
          <w:iCs w:val="0"/>
          <w:caps w:val="0"/>
          <w:color w:val="333333"/>
          <w:spacing w:val="0"/>
          <w:sz w:val="31"/>
          <w:szCs w:val="31"/>
        </w:rPr>
        <w:t>应按规范要求设置防雷装置。要严格核查设备检验检测及验收记录，确保合规使用。</w:t>
      </w:r>
    </w:p>
    <w:p w14:paraId="0681DE36">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3.脚手架及模板支撑：重点检查脚手架基础、架体结构、附着支座、提升支座、防坠安全器、电动葫芦及拉结点设置。要全面排查脚手架及模板支撑体系的安全性能，严禁带隐患作业。</w:t>
      </w:r>
    </w:p>
    <w:p w14:paraId="69642CCD">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4.临时用电：重点检查“TN-S接零保护系统”、“三级配电两级保护”、“一机一闸一漏一箱”落实情况；脚手架、起重机械等与外电线路之间要保持安全距离，小于安全距离必须采取有效防护措施；配电箱、开关箱要使用符合标准、通过国家实行强制性产品认证（CCC）产品。要立即整改不达标设施，严禁未经验收投入使用。</w:t>
      </w:r>
    </w:p>
    <w:p w14:paraId="1D45E4E2">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5.高处作业：重点检查作业人员要按规定佩戴和使用安全防护用具，并正确使用各类安全防护设施；施工现场要规范安全平网和安全立网的挂设和使用，各类临边、洞口、深基坑、沟槽、水池等部位安全防护设施要安装牢固、严密、齐全、有效。要加强高处作业人员岗前培训、安全交底和健康体检，各类安全防护设施要先验收后使用，未经审批不得擅自拆除。</w:t>
      </w:r>
    </w:p>
    <w:p w14:paraId="35072AAD">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6.消防管理：重点检查施工作业区、生活区、易燃易爆物品堆放区、仓库、配电设备及活动板房等区域的消防隐患，落实动火审批和监护制度；宿舍应使用36V安全电压，严禁随意私接私拉电线。要全面推广电气焊作业智能化监管平台应用，实行电焊机“加芯赋码”，未“加芯赋码”禁止进入施工现场，特种作业人员全部持证上岗。</w:t>
      </w:r>
    </w:p>
    <w:p w14:paraId="37E85909">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7.临建设施、围挡：重点检查临建板房、围挡墙是否安全、稳定，要制定临建板房、围挡墙的应急加固方案，备齐备足加固器材，</w:t>
      </w:r>
      <w:r>
        <w:rPr>
          <w:rStyle w:val="6"/>
          <w:rFonts w:hint="default" w:ascii="仿宋_GB2312" w:hAnsi="Helvetica" w:eastAsia="仿宋_GB2312" w:cs="仿宋_GB2312"/>
          <w:b/>
          <w:bCs/>
          <w:i w:val="0"/>
          <w:iCs w:val="0"/>
          <w:caps w:val="0"/>
          <w:color w:val="333333"/>
          <w:spacing w:val="0"/>
          <w:sz w:val="31"/>
          <w:szCs w:val="31"/>
        </w:rPr>
        <w:t>汛前应完成临建板房、围挡墙加固工作，</w:t>
      </w:r>
      <w:r>
        <w:rPr>
          <w:rFonts w:hint="default" w:ascii="仿宋_GB2312" w:hAnsi="Helvetica" w:eastAsia="仿宋_GB2312" w:cs="仿宋_GB2312"/>
          <w:i w:val="0"/>
          <w:iCs w:val="0"/>
          <w:caps w:val="0"/>
          <w:color w:val="333333"/>
          <w:spacing w:val="0"/>
          <w:sz w:val="31"/>
          <w:szCs w:val="31"/>
        </w:rPr>
        <w:t>无法保证安全使用的要坚决拆除。要加大对周边环境（包括基坑及毗邻建筑物、构筑物，高压线路、高大土堆等）进行巡视，发现异常情况，立即撤离有关人员。</w:t>
      </w:r>
    </w:p>
    <w:p w14:paraId="46B714B4">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8.建筑保温材料：重点检查严格材料存放，材料应按计划限量进场并规范存放，</w:t>
      </w:r>
      <w:r>
        <w:rPr>
          <w:rFonts w:hint="default" w:ascii="仿宋_GB2312" w:hAnsi="Times New Roman" w:eastAsia="仿宋_GB2312" w:cs="仿宋_GB2312"/>
          <w:i w:val="0"/>
          <w:iCs w:val="0"/>
          <w:caps w:val="0"/>
          <w:color w:val="333333"/>
          <w:spacing w:val="0"/>
          <w:sz w:val="31"/>
          <w:szCs w:val="31"/>
        </w:rPr>
        <w:t>库房、材料堆场防火间距应符合</w:t>
      </w:r>
      <w:r>
        <w:rPr>
          <w:rFonts w:hint="default" w:ascii="仿宋_GB2312" w:hAnsi="Helvetica" w:eastAsia="仿宋_GB2312" w:cs="仿宋_GB2312"/>
          <w:i w:val="0"/>
          <w:iCs w:val="0"/>
          <w:caps w:val="0"/>
          <w:color w:val="333333"/>
          <w:spacing w:val="0"/>
          <w:sz w:val="31"/>
          <w:szCs w:val="31"/>
        </w:rPr>
        <w:t>有关</w:t>
      </w:r>
      <w:r>
        <w:rPr>
          <w:rFonts w:hint="default" w:ascii="仿宋_GB2312" w:hAnsi="Times New Roman" w:eastAsia="仿宋_GB2312" w:cs="仿宋_GB2312"/>
          <w:i w:val="0"/>
          <w:iCs w:val="0"/>
          <w:caps w:val="0"/>
          <w:color w:val="333333"/>
          <w:spacing w:val="0"/>
          <w:sz w:val="31"/>
          <w:szCs w:val="31"/>
        </w:rPr>
        <w:t>规定</w:t>
      </w:r>
      <w:r>
        <w:rPr>
          <w:rFonts w:hint="default" w:ascii="仿宋_GB2312" w:hAnsi="Helvetica" w:eastAsia="仿宋_GB2312" w:cs="仿宋_GB2312"/>
          <w:i w:val="0"/>
          <w:iCs w:val="0"/>
          <w:caps w:val="0"/>
          <w:color w:val="333333"/>
          <w:spacing w:val="0"/>
          <w:sz w:val="31"/>
          <w:szCs w:val="31"/>
        </w:rPr>
        <w:t>，堆放场地周边及上方严禁直接进行动火作业；严格施工安全管控，加强动火作业、交叉作业及高处作业管理，动火作业应由项目负责人审批，强化保温材料规格选用、见证取样、实体抽测、竣工验收等管理；严格应急管理，将保温材料消防安全管理纳入施工现场消防安全技术专项方案的重要内容，每年至少开展</w:t>
      </w:r>
      <w:r>
        <w:rPr>
          <w:rFonts w:hint="default" w:ascii="Times New Roman" w:hAnsi="Times New Roman" w:eastAsia="仿宋_GB2312" w:cs="Times New Roman"/>
          <w:i w:val="0"/>
          <w:iCs w:val="0"/>
          <w:caps w:val="0"/>
          <w:color w:val="333333"/>
          <w:spacing w:val="0"/>
          <w:sz w:val="31"/>
          <w:szCs w:val="31"/>
        </w:rPr>
        <w:t>1</w:t>
      </w:r>
      <w:r>
        <w:rPr>
          <w:rFonts w:hint="default" w:ascii="仿宋_GB2312" w:hAnsi="Helvetica" w:eastAsia="仿宋_GB2312" w:cs="仿宋_GB2312"/>
          <w:i w:val="0"/>
          <w:iCs w:val="0"/>
          <w:caps w:val="0"/>
          <w:color w:val="333333"/>
          <w:spacing w:val="0"/>
          <w:sz w:val="31"/>
          <w:szCs w:val="31"/>
        </w:rPr>
        <w:t>次以可燃材料火灾为主题的消防及应急疏散演练，强化消防安全应急处置能力。</w:t>
      </w:r>
    </w:p>
    <w:p w14:paraId="074E7EE2">
      <w:pPr>
        <w:pStyle w:val="3"/>
        <w:keepNext w:val="0"/>
        <w:keepLines w:val="0"/>
        <w:widowControl/>
        <w:suppressLineNumbers w:val="0"/>
        <w:spacing w:before="0" w:beforeAutospacing="0" w:after="150" w:afterAutospacing="0" w:line="555" w:lineRule="atLeast"/>
        <w:ind w:left="0" w:right="0" w:firstLine="585"/>
        <w:jc w:val="left"/>
      </w:pPr>
      <w:r>
        <w:rPr>
          <w:rFonts w:hint="eastAsia" w:ascii="黑体" w:hAnsi="宋体" w:eastAsia="黑体" w:cs="黑体"/>
          <w:i w:val="0"/>
          <w:iCs w:val="0"/>
          <w:caps w:val="0"/>
          <w:color w:val="333333"/>
          <w:spacing w:val="-15"/>
          <w:sz w:val="31"/>
          <w:szCs w:val="31"/>
        </w:rPr>
        <w:t>三、聚焦实战实效，切实提升应急处置能力</w:t>
      </w:r>
    </w:p>
    <w:p w14:paraId="070AE39E">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rPr>
        <w:t>一是各企业项目要深入开展各类防汛预案方案修编工作，建立健全应急救援力量体系，进一步明确职责任务。要建立预警和应急响应联动机制，密切关注气象等部门发布的预警信息，严格落实值班值守，时刻保持通信畅通，及时启动应急响应，采取有效措施全力做好各项防范应对工作。要制定汛期人员应急疏散处置方案，提前落实应急安置点，遇有重大汛情及时组织人员有序撤离，确保汛期从业人员的生命安全。</w:t>
      </w:r>
    </w:p>
    <w:p w14:paraId="4F748B42">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二是各企业项目要突出实战演练，针对施工现场重点区域、重点时段、重点风险、重点部位，采用桌面推演、现场演练、情景构建等方式，突出会商研判、预警响应、指挥协调、人员转移、抢险救援等内容，真刀真枪地全面开展防汛演练。要围绕第24个全国“安全生产月”活动主题“人人讲安全、个个会应急——查找身边安全隐患”，开展一次防汛专题安全教育，进一步强化一线作业人员防汛意识。</w:t>
      </w:r>
    </w:p>
    <w:p w14:paraId="3AE875A6">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三是全市应急队伍要切实做好应急准备工作，全面掌握各类抢险救援力量，摸清防汛物资储备底数，加强统筹协调，积极探索应急救援队伍共训共练、协同作战、联合救援，以及应急物资调拨等工作机制，按照就近调配、快速行动、有序救援原则，进一步优化抢险力量物资布局，切实提升抢大险、救大灾能力。</w:t>
      </w:r>
    </w:p>
    <w:p w14:paraId="73E08EF6">
      <w:pPr>
        <w:pStyle w:val="3"/>
        <w:keepNext w:val="0"/>
        <w:keepLines w:val="0"/>
        <w:widowControl/>
        <w:suppressLineNumbers w:val="0"/>
        <w:spacing w:before="0" w:beforeAutospacing="0" w:after="150" w:afterAutospacing="0" w:line="555" w:lineRule="atLeast"/>
        <w:ind w:left="0" w:right="0" w:firstLine="585"/>
        <w:jc w:val="left"/>
      </w:pPr>
      <w:r>
        <w:rPr>
          <w:rFonts w:hint="eastAsia" w:ascii="黑体" w:hAnsi="宋体" w:eastAsia="黑体" w:cs="黑体"/>
          <w:i w:val="0"/>
          <w:iCs w:val="0"/>
          <w:caps w:val="0"/>
          <w:color w:val="333333"/>
          <w:spacing w:val="-15"/>
          <w:sz w:val="31"/>
          <w:szCs w:val="31"/>
        </w:rPr>
        <w:t>四、有关要求</w:t>
      </w:r>
    </w:p>
    <w:p w14:paraId="2729E39B">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一是各区、市建筑施工安全监督机构要严格落实“三员联动”机制，强化监督员、安全员、监理员在汛期应急保障中的协同作用。要建立应急联动响应机制，明确“三员”在预警研判、信息互通、物资调配及人员转移中的职责，通过“线上+线下”方式实时共享汛情动态。要将防汛应急演练纳入“三员联动”活动范畴，结合“安全圆桌会”“警示教育会”等形式，开展汛期风险研判、预案推演及联合抢险演练。要整合“三员”力量，加强隐患排查与整改跟踪，紧盯重点环节、关键部位，依托联动工作小组实现问题“发现-反馈-整改-复核”闭环管理，确保应急资源高效配置，夯实防汛安全保障基础。</w:t>
      </w:r>
    </w:p>
    <w:p w14:paraId="6B7D0ABE">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二是各企业项目要高度重视、快速行动，扎实开展汛前安全隐患自查自纠工作，对发现的隐患问题要建立整改台账，落实整改措施，明确责任人员，及时跟踪整改情况，坚决杜绝“带病入汛”问题发生，自查自纠开展情况（见附件1、2、3、4）留档备查。</w:t>
      </w:r>
    </w:p>
    <w:p w14:paraId="632D777A">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三是各区、市建筑施工安全监督机构要加大防汛工作检查力度，及时对辖区内房屋建筑工程汛前准备工作落实情况进行检查、督导，并建立汛期重大安全隐患源台账（见附件5）。</w:t>
      </w:r>
    </w:p>
    <w:p w14:paraId="62B7E758">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 附件：1.汛前深基坑安全检查表</w:t>
      </w:r>
    </w:p>
    <w:p w14:paraId="36AB29BE">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      2.汛前塔机安全检查表</w:t>
      </w:r>
    </w:p>
    <w:p w14:paraId="78AC76BD">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      3.汛前施工升降机（物料提升机）安全检查表</w:t>
      </w:r>
    </w:p>
    <w:p w14:paraId="6A4F6CCC">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      4.汛前临建设施安全检查情况</w:t>
      </w:r>
    </w:p>
    <w:p w14:paraId="007F1269">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      5.区、市房屋建筑工程重大安全隐患源台账</w:t>
      </w:r>
    </w:p>
    <w:p w14:paraId="647B69E2">
      <w:pPr>
        <w:pStyle w:val="3"/>
        <w:keepNext w:val="0"/>
        <w:keepLines w:val="0"/>
        <w:widowControl/>
        <w:suppressLineNumbers w:val="0"/>
        <w:spacing w:before="0" w:beforeAutospacing="0" w:after="150" w:afterAutospacing="0" w:line="555" w:lineRule="atLeast"/>
        <w:ind w:left="0" w:right="0" w:firstLine="645"/>
        <w:jc w:val="center"/>
        <w:rPr>
          <w:sz w:val="31"/>
          <w:szCs w:val="31"/>
        </w:rPr>
      </w:pPr>
      <w:r>
        <w:rPr>
          <w:rFonts w:hint="default" w:ascii="仿宋_GB2312" w:hAnsi="Helvetica" w:eastAsia="仿宋_GB2312" w:cs="仿宋_GB2312"/>
          <w:i w:val="0"/>
          <w:iCs w:val="0"/>
          <w:caps w:val="0"/>
          <w:color w:val="333333"/>
          <w:spacing w:val="0"/>
          <w:sz w:val="31"/>
          <w:szCs w:val="31"/>
        </w:rPr>
        <w:t>                                                 </w:t>
      </w:r>
      <w:bookmarkStart w:id="0" w:name="_GoBack"/>
      <w:bookmarkEnd w:id="0"/>
      <w:r>
        <w:rPr>
          <w:rFonts w:hint="default" w:ascii="仿宋_GB2312" w:hAnsi="Helvetica" w:eastAsia="仿宋_GB2312" w:cs="仿宋_GB2312"/>
          <w:i w:val="0"/>
          <w:iCs w:val="0"/>
          <w:caps w:val="0"/>
          <w:color w:val="333333"/>
          <w:spacing w:val="0"/>
          <w:sz w:val="31"/>
          <w:szCs w:val="31"/>
        </w:rPr>
        <w:t>                           青岛市建筑施工安全监督站</w:t>
      </w:r>
    </w:p>
    <w:p w14:paraId="0404B21E">
      <w:pPr>
        <w:pStyle w:val="3"/>
        <w:keepNext w:val="0"/>
        <w:keepLines w:val="0"/>
        <w:widowControl/>
        <w:suppressLineNumbers w:val="0"/>
        <w:spacing w:before="0" w:beforeAutospacing="0" w:after="150" w:afterAutospacing="0" w:line="555" w:lineRule="atLeast"/>
        <w:ind w:left="0" w:right="0" w:firstLine="645"/>
        <w:jc w:val="center"/>
        <w:rPr>
          <w:sz w:val="31"/>
          <w:szCs w:val="31"/>
        </w:rPr>
      </w:pPr>
      <w:r>
        <w:rPr>
          <w:rFonts w:hint="default" w:ascii="仿宋_GB2312" w:hAnsi="Helvetica" w:eastAsia="仿宋_GB2312" w:cs="仿宋_GB2312"/>
          <w:i w:val="0"/>
          <w:iCs w:val="0"/>
          <w:caps w:val="0"/>
          <w:color w:val="333333"/>
          <w:spacing w:val="0"/>
          <w:sz w:val="31"/>
          <w:szCs w:val="31"/>
        </w:rPr>
        <w:t>                               2025年5月7日</w:t>
      </w:r>
    </w:p>
    <w:p w14:paraId="0F80E973">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 （联系人：钱青，电话：85062787）</w:t>
      </w:r>
    </w:p>
    <w:p w14:paraId="57B2799F">
      <w:pPr>
        <w:pStyle w:val="3"/>
        <w:keepNext w:val="0"/>
        <w:keepLines w:val="0"/>
        <w:widowControl/>
        <w:suppressLineNumbers w:val="0"/>
        <w:spacing w:before="0" w:beforeAutospacing="0" w:after="150" w:afterAutospacing="0" w:line="240" w:lineRule="atLeast"/>
        <w:ind w:left="0" w:right="0"/>
        <w:jc w:val="left"/>
        <w:rPr>
          <w:sz w:val="24"/>
          <w:szCs w:val="24"/>
        </w:rPr>
      </w:pP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default" w:ascii="Helvetica" w:hAnsi="Helvetica" w:eastAsia="Helvetica" w:cs="Helvetica"/>
          <w:i w:val="0"/>
          <w:iCs w:val="0"/>
          <w:caps w:val="0"/>
          <w:color w:val="0066CC"/>
          <w:spacing w:val="0"/>
          <w:sz w:val="24"/>
          <w:szCs w:val="24"/>
          <w:u w:val="none"/>
        </w:rPr>
        <w:fldChar w:fldCharType="begin"/>
      </w:r>
      <w:r>
        <w:rPr>
          <w:rFonts w:hint="default" w:ascii="Helvetica" w:hAnsi="Helvetica" w:eastAsia="Helvetica" w:cs="Helvetica"/>
          <w:i w:val="0"/>
          <w:iCs w:val="0"/>
          <w:caps w:val="0"/>
          <w:color w:val="0066CC"/>
          <w:spacing w:val="0"/>
          <w:sz w:val="24"/>
          <w:szCs w:val="24"/>
          <w:u w:val="none"/>
        </w:rPr>
        <w:instrText xml:space="preserve"> HYPERLINK "https://sjw.qingdao.gov.cn/cxjsj13/cxjsj87/202505/P020250507560672014501.doc" \o "附件.doc" </w:instrText>
      </w:r>
      <w:r>
        <w:rPr>
          <w:rFonts w:hint="default" w:ascii="Helvetica" w:hAnsi="Helvetica" w:eastAsia="Helvetica" w:cs="Helvetica"/>
          <w:i w:val="0"/>
          <w:iCs w:val="0"/>
          <w:caps w:val="0"/>
          <w:color w:val="0066CC"/>
          <w:spacing w:val="0"/>
          <w:sz w:val="24"/>
          <w:szCs w:val="24"/>
          <w:u w:val="none"/>
        </w:rPr>
        <w:fldChar w:fldCharType="separate"/>
      </w:r>
      <w:r>
        <w:rPr>
          <w:rStyle w:val="7"/>
          <w:rFonts w:hint="default" w:ascii="Helvetica" w:hAnsi="Helvetica" w:eastAsia="Helvetica" w:cs="Helvetica"/>
          <w:i w:val="0"/>
          <w:iCs w:val="0"/>
          <w:caps w:val="0"/>
          <w:color w:val="0066CC"/>
          <w:spacing w:val="0"/>
          <w:sz w:val="24"/>
          <w:szCs w:val="24"/>
          <w:u w:val="none"/>
        </w:rPr>
        <w:t>附件.doc</w:t>
      </w:r>
      <w:r>
        <w:rPr>
          <w:rFonts w:hint="default" w:ascii="Helvetica" w:hAnsi="Helvetica" w:eastAsia="Helvetica" w:cs="Helvetica"/>
          <w:i w:val="0"/>
          <w:iCs w:val="0"/>
          <w:caps w:val="0"/>
          <w:color w:val="0066CC"/>
          <w:spacing w:val="0"/>
          <w:sz w:val="24"/>
          <w:szCs w:val="24"/>
          <w:u w:val="none"/>
        </w:rPr>
        <w:fldChar w:fldCharType="end"/>
      </w:r>
    </w:p>
    <w:p w14:paraId="25C4E9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580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2025-05-12T00:33:46Z</dcterms:created>
  <dc:creator>Administrator</dc:creator>
  <cp:lastModifiedBy>刘卫东</cp:lastModifiedBy>
  <dcterms:modified xsi:type="dcterms:W3CDTF">2025-05-12T00:35:10Z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eyJoZGlkIjoiMzc3ZGVlYzIyYTFkODg5ZDVlODFhMDc3Y2QwNDZmYzIiLCJ1c2VySWQiOiIyNjE4NTEzOTYifQ==</vt:lpwstr>
  </property>
  <property fmtid="{D5CDD505-2E9C-101B-9397-08002B2CF9AE}" pid="4" name="ICV">
    <vt:lpwstr>B9BCD11AFCC64D7097C2229D67B30B51_12</vt:lpwstr>
  </property>
</Properties>
</file>